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A569A4"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#84</w:t>
      </w:r>
      <w:r w:rsidR="00B87244">
        <w:rPr>
          <w:rFonts w:ascii="Arial" w:hAnsi="Arial" w:cs="Arial" w:hint="eastAsia"/>
          <w:b/>
          <w:bCs/>
          <w:sz w:val="22"/>
          <w:lang w:val="en-GB"/>
        </w:rPr>
        <w:t>bis</w:t>
      </w:r>
      <w:r w:rsidRPr="00525CF4">
        <w:rPr>
          <w:rFonts w:ascii="Arial" w:hAnsi="Arial" w:cs="Arial"/>
          <w:b/>
          <w:bCs/>
          <w:sz w:val="22"/>
          <w:lang w:val="en-GB"/>
        </w:rPr>
        <w:t xml:space="preserve"> </w:t>
      </w:r>
      <w:r w:rsidR="00585079">
        <w:rPr>
          <w:rFonts w:ascii="Arial" w:hAnsi="Arial" w:cs="Arial"/>
          <w:b/>
          <w:bCs/>
          <w:sz w:val="22"/>
          <w:lang w:val="en-GB"/>
        </w:rPr>
        <w:t xml:space="preserve">                           </w:t>
      </w:r>
      <w:r w:rsidR="004C0544">
        <w:rPr>
          <w:rFonts w:ascii="Arial" w:hAnsi="Arial" w:cs="Arial"/>
          <w:b/>
          <w:bCs/>
          <w:sz w:val="22"/>
          <w:lang w:val="en-GB"/>
        </w:rPr>
        <w:t xml:space="preserve">       </w:t>
      </w:r>
      <w:r w:rsidR="00585079">
        <w:rPr>
          <w:rFonts w:ascii="Arial" w:hAnsi="Arial" w:cs="Arial"/>
          <w:b/>
          <w:bCs/>
          <w:sz w:val="22"/>
          <w:lang w:val="en-GB"/>
        </w:rPr>
        <w:t xml:space="preserve">  </w:t>
      </w:r>
      <w:r w:rsidR="00B87244">
        <w:rPr>
          <w:rFonts w:ascii="Arial" w:hAnsi="Arial" w:cs="Arial"/>
          <w:b/>
          <w:bCs/>
          <w:sz w:val="22"/>
          <w:lang w:val="en-GB"/>
        </w:rPr>
        <w:t>R1-</w:t>
      </w:r>
      <w:r w:rsidR="00C509B0">
        <w:rPr>
          <w:rFonts w:ascii="Arial" w:hAnsi="Arial" w:cs="Arial" w:hint="eastAsia"/>
          <w:b/>
          <w:bCs/>
          <w:sz w:val="22"/>
          <w:lang w:val="en-GB"/>
        </w:rPr>
        <w:t>16</w:t>
      </w:r>
      <w:r w:rsidR="00C509B0">
        <w:rPr>
          <w:rFonts w:ascii="Arial" w:hAnsi="Arial" w:cs="Arial"/>
          <w:b/>
          <w:bCs/>
          <w:sz w:val="22"/>
          <w:lang w:val="en-GB"/>
        </w:rPr>
        <w:t>3392</w:t>
      </w:r>
      <w:r w:rsidRPr="00525CF4">
        <w:rPr>
          <w:rFonts w:ascii="Arial" w:hAnsi="Arial" w:cs="Arial" w:hint="eastAsia"/>
          <w:b/>
          <w:bCs/>
          <w:sz w:val="22"/>
          <w:lang w:val="en-GB"/>
        </w:rPr>
        <w:t xml:space="preserve"> </w:t>
      </w:r>
    </w:p>
    <w:p w:rsidR="00A569A4" w:rsidRPr="00525CF4" w:rsidRDefault="00D82A53" w:rsidP="00A569A4">
      <w:pPr>
        <w:widowControl w:val="0"/>
        <w:autoSpaceDE w:val="0"/>
        <w:autoSpaceDN w:val="0"/>
        <w:spacing w:after="240" w:line="240" w:lineRule="auto"/>
        <w:outlineLvl w:val="0"/>
        <w:rPr>
          <w:rFonts w:ascii="Arial" w:hAnsi="Arial" w:cs="Arial"/>
          <w:b/>
          <w:bCs/>
          <w:sz w:val="22"/>
          <w:lang w:val="en-GB"/>
        </w:rPr>
      </w:pPr>
      <w:proofErr w:type="spellStart"/>
      <w:r>
        <w:rPr>
          <w:rFonts w:ascii="Arial" w:hAnsi="Arial" w:cs="Arial" w:hint="eastAsia"/>
          <w:b/>
          <w:bCs/>
          <w:sz w:val="22"/>
          <w:lang w:val="en-GB"/>
        </w:rPr>
        <w:t>Busan</w:t>
      </w:r>
      <w:proofErr w:type="spellEnd"/>
      <w:r w:rsidR="00B87244">
        <w:rPr>
          <w:rFonts w:ascii="Arial" w:hAnsi="Arial" w:cs="Arial"/>
          <w:b/>
          <w:bCs/>
          <w:sz w:val="22"/>
          <w:lang w:val="en-GB"/>
        </w:rPr>
        <w:t xml:space="preserve">, </w:t>
      </w:r>
      <w:r>
        <w:rPr>
          <w:rFonts w:ascii="Arial" w:hAnsi="Arial" w:cs="Arial" w:hint="eastAsia"/>
          <w:b/>
          <w:bCs/>
          <w:sz w:val="22"/>
          <w:lang w:val="en-GB"/>
        </w:rPr>
        <w:t>Korea</w:t>
      </w:r>
      <w:r>
        <w:rPr>
          <w:rFonts w:ascii="Arial" w:hAnsi="Arial" w:cs="Arial"/>
          <w:b/>
          <w:bCs/>
          <w:sz w:val="22"/>
          <w:lang w:val="en-GB"/>
        </w:rPr>
        <w:t xml:space="preserve">, </w:t>
      </w:r>
      <w:r>
        <w:rPr>
          <w:rFonts w:ascii="Arial" w:hAnsi="Arial" w:cs="Arial" w:hint="eastAsia"/>
          <w:b/>
          <w:bCs/>
          <w:sz w:val="22"/>
          <w:lang w:val="en-GB"/>
        </w:rPr>
        <w:t>11</w:t>
      </w:r>
      <w:r w:rsidR="00A569A4" w:rsidRPr="00525CF4">
        <w:rPr>
          <w:rFonts w:ascii="Arial" w:hAnsi="Arial" w:cs="Arial"/>
          <w:b/>
          <w:bCs/>
          <w:sz w:val="22"/>
          <w:lang w:val="en-GB"/>
        </w:rPr>
        <w:t xml:space="preserve">th - </w:t>
      </w:r>
      <w:r>
        <w:rPr>
          <w:rFonts w:ascii="Arial" w:hAnsi="Arial" w:cs="Arial" w:hint="eastAsia"/>
          <w:b/>
          <w:bCs/>
          <w:sz w:val="22"/>
          <w:lang w:val="en-GB"/>
        </w:rPr>
        <w:t>15</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hint="eastAsia"/>
          <w:b/>
          <w:bCs/>
          <w:sz w:val="22"/>
          <w:lang w:val="en-GB"/>
        </w:rPr>
        <w:t>April</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F62CCD">
        <w:rPr>
          <w:rFonts w:ascii="Arial" w:hAnsi="Arial" w:cs="Arial"/>
          <w:b/>
          <w:bCs/>
          <w:sz w:val="22"/>
          <w:lang w:val="en-GB"/>
        </w:rPr>
        <w:t xml:space="preserve"> </w:t>
      </w:r>
      <w:r w:rsidR="00932248" w:rsidRPr="00932248">
        <w:rPr>
          <w:rFonts w:ascii="Arial" w:hAnsi="Arial" w:cs="Arial"/>
          <w:b/>
          <w:bCs/>
          <w:sz w:val="22"/>
          <w:lang w:val="en-GB"/>
        </w:rPr>
        <w:t>Consideration on forward compatibility for new radio interface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32248">
        <w:rPr>
          <w:rFonts w:ascii="Arial" w:hAnsi="Arial" w:cs="Arial" w:hint="eastAsia"/>
          <w:b/>
          <w:bCs/>
          <w:sz w:val="22"/>
          <w:lang w:val="en-GB"/>
        </w:rPr>
        <w:t xml:space="preserve">   8.1.</w:t>
      </w:r>
      <w:r w:rsidR="00932248">
        <w:rPr>
          <w:rFonts w:ascii="Arial" w:hAnsi="Arial" w:cs="Arial"/>
          <w:b/>
          <w:bCs/>
          <w:sz w:val="22"/>
          <w:lang w:val="en-GB"/>
        </w:rPr>
        <w:t>2</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765BB9" w:rsidRDefault="004C46E1" w:rsidP="00E301E5">
      <w:pPr>
        <w:adjustRightInd/>
        <w:snapToGrid w:val="0"/>
        <w:spacing w:afterLines="50" w:line="276" w:lineRule="auto"/>
        <w:jc w:val="both"/>
        <w:rPr>
          <w:szCs w:val="20"/>
        </w:rPr>
      </w:pPr>
      <w:r w:rsidRPr="00932248">
        <w:rPr>
          <w:szCs w:val="20"/>
        </w:rPr>
        <w:t>In RAN#</w:t>
      </w:r>
      <w:r w:rsidRPr="00932248">
        <w:rPr>
          <w:rFonts w:hint="eastAsia"/>
          <w:szCs w:val="20"/>
        </w:rPr>
        <w:t>71</w:t>
      </w:r>
      <w:r w:rsidR="00A569A4" w:rsidRPr="00932248">
        <w:rPr>
          <w:szCs w:val="20"/>
        </w:rPr>
        <w:t xml:space="preserve">, </w:t>
      </w:r>
      <w:r w:rsidRPr="00932248">
        <w:rPr>
          <w:rFonts w:hint="eastAsia"/>
          <w:szCs w:val="20"/>
        </w:rPr>
        <w:t xml:space="preserve">a </w:t>
      </w:r>
      <w:r w:rsidRPr="00932248">
        <w:rPr>
          <w:szCs w:val="20"/>
        </w:rPr>
        <w:t>new</w:t>
      </w:r>
      <w:r w:rsidRPr="00932248">
        <w:rPr>
          <w:rFonts w:hint="eastAsia"/>
          <w:szCs w:val="20"/>
        </w:rPr>
        <w:t xml:space="preserve"> study item related to new radio access technologies for next </w:t>
      </w:r>
      <w:r w:rsidRPr="00932248">
        <w:rPr>
          <w:szCs w:val="20"/>
        </w:rPr>
        <w:t>generation</w:t>
      </w:r>
      <w:r w:rsidRPr="00932248">
        <w:rPr>
          <w:rFonts w:hint="eastAsia"/>
          <w:szCs w:val="20"/>
        </w:rPr>
        <w:t xml:space="preserve"> of wireless communication has been </w:t>
      </w:r>
      <w:r w:rsidRPr="00932248">
        <w:rPr>
          <w:szCs w:val="20"/>
        </w:rPr>
        <w:t>approved [</w:t>
      </w:r>
      <w:r w:rsidR="0027255D">
        <w:rPr>
          <w:rFonts w:hint="eastAsia"/>
          <w:szCs w:val="20"/>
        </w:rPr>
        <w:t>1].</w:t>
      </w:r>
      <w:r w:rsidR="00765BB9">
        <w:rPr>
          <w:szCs w:val="20"/>
        </w:rPr>
        <w:t xml:space="preserve"> According to the SID, the</w:t>
      </w:r>
      <w:r w:rsidR="00765BB9" w:rsidRPr="00765BB9">
        <w:rPr>
          <w:szCs w:val="20"/>
        </w:rPr>
        <w:t xml:space="preserve"> specification would occur in two phases</w:t>
      </w:r>
      <w:r w:rsidR="00765BB9">
        <w:rPr>
          <w:szCs w:val="20"/>
        </w:rPr>
        <w:t xml:space="preserve">: </w:t>
      </w:r>
      <w:r w:rsidR="00932248" w:rsidRPr="00932248">
        <w:rPr>
          <w:rFonts w:hint="eastAsia"/>
          <w:szCs w:val="20"/>
        </w:rPr>
        <w:t xml:space="preserve"> </w:t>
      </w:r>
    </w:p>
    <w:p w:rsidR="00765BB9" w:rsidRDefault="00765BB9" w:rsidP="00E301E5">
      <w:pPr>
        <w:pStyle w:val="a8"/>
        <w:numPr>
          <w:ilvl w:val="0"/>
          <w:numId w:val="17"/>
        </w:numPr>
        <w:adjustRightInd/>
        <w:snapToGrid w:val="0"/>
        <w:spacing w:afterLines="50" w:line="276" w:lineRule="auto"/>
        <w:ind w:firstLineChars="0"/>
        <w:rPr>
          <w:bCs/>
        </w:rPr>
      </w:pPr>
      <w:r w:rsidRPr="00765BB9">
        <w:rPr>
          <w:rFonts w:eastAsia="Malgun Gothic" w:hint="eastAsia"/>
          <w:bCs/>
          <w:lang w:eastAsia="ko-KR"/>
        </w:rPr>
        <w:t xml:space="preserve">Phase I </w:t>
      </w:r>
      <w:r w:rsidRPr="00765BB9">
        <w:rPr>
          <w:rFonts w:eastAsia="Malgun Gothic"/>
          <w:bCs/>
          <w:lang w:eastAsia="ko-KR"/>
        </w:rPr>
        <w:t xml:space="preserve">specification </w:t>
      </w:r>
      <w:r w:rsidRPr="00765BB9">
        <w:rPr>
          <w:rFonts w:eastAsia="Malgun Gothic" w:hint="eastAsia"/>
          <w:bCs/>
          <w:lang w:eastAsia="ko-KR"/>
        </w:rPr>
        <w:t xml:space="preserve">of the new RAT must be forward compatible </w:t>
      </w:r>
      <w:r w:rsidRPr="00765BB9">
        <w:rPr>
          <w:rFonts w:eastAsia="Malgun Gothic"/>
          <w:bCs/>
          <w:lang w:eastAsia="ko-KR"/>
        </w:rPr>
        <w:t xml:space="preserve">(in terms of efficient co-cell/site/carrier operation) </w:t>
      </w:r>
      <w:r w:rsidRPr="00765BB9">
        <w:rPr>
          <w:rFonts w:eastAsia="Malgun Gothic" w:hint="eastAsia"/>
          <w:bCs/>
          <w:lang w:eastAsia="ko-KR"/>
        </w:rPr>
        <w:t xml:space="preserve">with Phase II </w:t>
      </w:r>
      <w:r w:rsidRPr="00765BB9">
        <w:rPr>
          <w:rFonts w:eastAsia="Malgun Gothic"/>
          <w:bCs/>
          <w:lang w:eastAsia="ko-KR"/>
        </w:rPr>
        <w:t xml:space="preserve">specification </w:t>
      </w:r>
      <w:r w:rsidRPr="00765BB9">
        <w:rPr>
          <w:rFonts w:eastAsia="Malgun Gothic" w:hint="eastAsia"/>
          <w:bCs/>
          <w:lang w:eastAsia="ko-KR"/>
        </w:rPr>
        <w:t xml:space="preserve">and beyond, and backward compatibility to LTE </w:t>
      </w:r>
      <w:r w:rsidRPr="00765BB9">
        <w:rPr>
          <w:rFonts w:hint="eastAsia"/>
          <w:bCs/>
        </w:rPr>
        <w:t>is not required</w:t>
      </w:r>
      <w:r w:rsidRPr="00765BB9">
        <w:rPr>
          <w:bCs/>
        </w:rPr>
        <w:t xml:space="preserve">. </w:t>
      </w:r>
    </w:p>
    <w:p w:rsidR="00932248" w:rsidRDefault="00765BB9" w:rsidP="00E301E5">
      <w:pPr>
        <w:pStyle w:val="a8"/>
        <w:numPr>
          <w:ilvl w:val="0"/>
          <w:numId w:val="17"/>
        </w:numPr>
        <w:adjustRightInd/>
        <w:snapToGrid w:val="0"/>
        <w:spacing w:afterLines="50" w:line="276" w:lineRule="auto"/>
        <w:ind w:firstLineChars="0"/>
        <w:rPr>
          <w:bCs/>
        </w:rPr>
      </w:pPr>
      <w:r w:rsidRPr="00765BB9">
        <w:rPr>
          <w:bCs/>
        </w:rPr>
        <w:t>Phase II specification of the new RAT builds on the foundation of Phase I specification, and meets all the set requirements for the new RAT.</w:t>
      </w:r>
    </w:p>
    <w:p w:rsidR="00765BB9" w:rsidRPr="00765BB9" w:rsidRDefault="00765BB9" w:rsidP="00E301E5">
      <w:pPr>
        <w:pStyle w:val="a8"/>
        <w:numPr>
          <w:ilvl w:val="0"/>
          <w:numId w:val="17"/>
        </w:numPr>
        <w:adjustRightInd/>
        <w:snapToGrid w:val="0"/>
        <w:spacing w:afterLines="50" w:line="276" w:lineRule="auto"/>
        <w:ind w:firstLineChars="0"/>
        <w:rPr>
          <w:bCs/>
        </w:rPr>
      </w:pPr>
      <w:r w:rsidRPr="00765BB9">
        <w:rPr>
          <w:bCs/>
        </w:rPr>
        <w:t>Smooth future evolution beyond Phase II needs to be ensured to support later advanced features and to enable support of service requirements identified later than Phase II specification.</w:t>
      </w:r>
    </w:p>
    <w:p w:rsidR="00A569A4" w:rsidRPr="0027255D" w:rsidRDefault="00B03B2F" w:rsidP="00E301E5">
      <w:pPr>
        <w:adjustRightInd/>
        <w:snapToGrid w:val="0"/>
        <w:spacing w:afterLines="50" w:line="276" w:lineRule="auto"/>
        <w:jc w:val="both"/>
        <w:rPr>
          <w:szCs w:val="20"/>
        </w:rPr>
      </w:pPr>
      <w:r>
        <w:rPr>
          <w:szCs w:val="20"/>
        </w:rPr>
        <w:t xml:space="preserve">This means </w:t>
      </w:r>
      <w:r w:rsidR="0027255D" w:rsidRPr="0027255D">
        <w:rPr>
          <w:szCs w:val="20"/>
        </w:rPr>
        <w:t>Phase I de</w:t>
      </w:r>
      <w:r>
        <w:rPr>
          <w:szCs w:val="20"/>
        </w:rPr>
        <w:t>sign should be</w:t>
      </w:r>
      <w:r w:rsidR="0027255D" w:rsidRPr="0027255D">
        <w:rPr>
          <w:szCs w:val="20"/>
        </w:rPr>
        <w:t xml:space="preserve"> done keeping in mi</w:t>
      </w:r>
      <w:r w:rsidR="00DA5597">
        <w:rPr>
          <w:szCs w:val="20"/>
        </w:rPr>
        <w:t>nd of forward compatibility to P</w:t>
      </w:r>
      <w:r w:rsidR="0027255D" w:rsidRPr="0027255D">
        <w:rPr>
          <w:szCs w:val="20"/>
        </w:rPr>
        <w:t>hase II. It can be interpreted that the design</w:t>
      </w:r>
      <w:r w:rsidR="00CA7B1E">
        <w:rPr>
          <w:szCs w:val="20"/>
        </w:rPr>
        <w:t xml:space="preserve"> of NR should be flexible and scalable</w:t>
      </w:r>
      <w:r w:rsidR="0027255D" w:rsidRPr="0027255D">
        <w:rPr>
          <w:szCs w:val="20"/>
        </w:rPr>
        <w:t xml:space="preserve"> to support</w:t>
      </w:r>
      <w:r w:rsidR="00932248" w:rsidRPr="0027255D">
        <w:rPr>
          <w:rFonts w:hint="eastAsia"/>
          <w:szCs w:val="20"/>
        </w:rPr>
        <w:t xml:space="preserve"> </w:t>
      </w:r>
      <w:r w:rsidR="0027255D" w:rsidRPr="0027255D">
        <w:rPr>
          <w:szCs w:val="20"/>
        </w:rPr>
        <w:t xml:space="preserve">new </w:t>
      </w:r>
      <w:r w:rsidR="0027255D">
        <w:rPr>
          <w:szCs w:val="20"/>
        </w:rPr>
        <w:t xml:space="preserve">and possibly unpredictable </w:t>
      </w:r>
      <w:r w:rsidR="0027255D" w:rsidRPr="0027255D">
        <w:rPr>
          <w:rFonts w:hint="eastAsia"/>
          <w:szCs w:val="20"/>
        </w:rPr>
        <w:t>applications</w:t>
      </w:r>
      <w:r w:rsidR="00CA7B1E">
        <w:rPr>
          <w:szCs w:val="20"/>
        </w:rPr>
        <w:t>, scenarios and spectrum</w:t>
      </w:r>
      <w:r w:rsidR="00B86BDA">
        <w:rPr>
          <w:szCs w:val="20"/>
        </w:rPr>
        <w:t xml:space="preserve"> coming up in the future. </w:t>
      </w:r>
      <w:r w:rsidR="0027255D" w:rsidRPr="0027255D">
        <w:rPr>
          <w:szCs w:val="20"/>
        </w:rPr>
        <w:t>In this co</w:t>
      </w:r>
      <w:r w:rsidR="0027255D">
        <w:rPr>
          <w:szCs w:val="20"/>
        </w:rPr>
        <w:t>ntribution, we discuss the forward compatibility in t</w:t>
      </w:r>
      <w:r w:rsidR="00BF4E61">
        <w:rPr>
          <w:szCs w:val="20"/>
        </w:rPr>
        <w:t>he aspects of frame structure including</w:t>
      </w:r>
      <w:r w:rsidR="0027255D">
        <w:rPr>
          <w:szCs w:val="20"/>
        </w:rPr>
        <w:t xml:space="preserve"> n</w:t>
      </w:r>
      <w:r w:rsidR="00515626">
        <w:rPr>
          <w:szCs w:val="20"/>
        </w:rPr>
        <w:t>umerology, user centric system design and MIMO framework</w:t>
      </w:r>
      <w:r w:rsidR="0027255D">
        <w:rPr>
          <w:szCs w:val="20"/>
        </w:rPr>
        <w:t>.</w:t>
      </w:r>
    </w:p>
    <w:p w:rsidR="00A569A4" w:rsidRDefault="00BF4E61" w:rsidP="00A569A4">
      <w:pPr>
        <w:numPr>
          <w:ilvl w:val="0"/>
          <w:numId w:val="1"/>
        </w:numPr>
        <w:ind w:left="357" w:hanging="357"/>
        <w:rPr>
          <w:b/>
          <w:sz w:val="30"/>
          <w:szCs w:val="30"/>
        </w:rPr>
      </w:pPr>
      <w:r>
        <w:rPr>
          <w:b/>
          <w:sz w:val="30"/>
          <w:szCs w:val="30"/>
        </w:rPr>
        <w:t>Frame structure and numerology</w:t>
      </w:r>
    </w:p>
    <w:p w:rsidR="00836840" w:rsidRDefault="00836840" w:rsidP="00E301E5">
      <w:pPr>
        <w:adjustRightInd/>
        <w:snapToGrid w:val="0"/>
        <w:spacing w:afterLines="50" w:line="276" w:lineRule="auto"/>
        <w:jc w:val="both"/>
        <w:rPr>
          <w:szCs w:val="20"/>
        </w:rPr>
      </w:pPr>
      <w:r>
        <w:rPr>
          <w:szCs w:val="20"/>
        </w:rPr>
        <w:t>In the aspects of frame structure</w:t>
      </w:r>
      <w:r w:rsidR="004C6A8B">
        <w:rPr>
          <w:szCs w:val="20"/>
        </w:rPr>
        <w:t xml:space="preserve"> design</w:t>
      </w:r>
      <w:r>
        <w:rPr>
          <w:szCs w:val="20"/>
        </w:rPr>
        <w:t xml:space="preserve">, the following design </w:t>
      </w:r>
      <w:r w:rsidR="004C6A8B">
        <w:rPr>
          <w:szCs w:val="20"/>
        </w:rPr>
        <w:t>principles should be adopted</w:t>
      </w:r>
      <w:r>
        <w:rPr>
          <w:szCs w:val="20"/>
        </w:rPr>
        <w:t xml:space="preserve"> considering forward compatibility:</w:t>
      </w:r>
    </w:p>
    <w:p w:rsidR="00836840" w:rsidRDefault="00836840" w:rsidP="00E301E5">
      <w:pPr>
        <w:adjustRightInd/>
        <w:snapToGrid w:val="0"/>
        <w:spacing w:afterLines="50" w:line="276" w:lineRule="auto"/>
        <w:ind w:firstLine="360"/>
        <w:jc w:val="both"/>
        <w:rPr>
          <w:szCs w:val="20"/>
        </w:rPr>
      </w:pPr>
      <w:r>
        <w:rPr>
          <w:szCs w:val="20"/>
        </w:rPr>
        <w:t>- Self contained frame structure</w:t>
      </w:r>
    </w:p>
    <w:p w:rsidR="00836840" w:rsidRDefault="00836840" w:rsidP="00E301E5">
      <w:pPr>
        <w:adjustRightInd/>
        <w:snapToGrid w:val="0"/>
        <w:spacing w:afterLines="50" w:line="276" w:lineRule="auto"/>
        <w:ind w:firstLine="360"/>
        <w:jc w:val="both"/>
        <w:rPr>
          <w:szCs w:val="20"/>
        </w:rPr>
      </w:pPr>
      <w:r>
        <w:rPr>
          <w:szCs w:val="20"/>
        </w:rPr>
        <w:t xml:space="preserve">- Flexible </w:t>
      </w:r>
      <w:r w:rsidR="004C6A8B">
        <w:rPr>
          <w:szCs w:val="20"/>
        </w:rPr>
        <w:t xml:space="preserve">data </w:t>
      </w:r>
      <w:proofErr w:type="spellStart"/>
      <w:r w:rsidR="00DD34F8">
        <w:rPr>
          <w:szCs w:val="20"/>
        </w:rPr>
        <w:t>subframes</w:t>
      </w:r>
      <w:proofErr w:type="spellEnd"/>
    </w:p>
    <w:p w:rsidR="00836840" w:rsidRDefault="00836840" w:rsidP="00E301E5">
      <w:pPr>
        <w:adjustRightInd/>
        <w:snapToGrid w:val="0"/>
        <w:spacing w:afterLines="50" w:line="276" w:lineRule="auto"/>
        <w:ind w:firstLine="360"/>
        <w:jc w:val="both"/>
        <w:rPr>
          <w:szCs w:val="20"/>
        </w:rPr>
      </w:pPr>
      <w:r>
        <w:rPr>
          <w:szCs w:val="20"/>
        </w:rPr>
        <w:t>- Flexible numerology</w:t>
      </w:r>
    </w:p>
    <w:p w:rsidR="00BB6344" w:rsidRPr="00A16D4F" w:rsidRDefault="00BB6344" w:rsidP="00BB6344">
      <w:pPr>
        <w:numPr>
          <w:ilvl w:val="1"/>
          <w:numId w:val="1"/>
        </w:numPr>
        <w:rPr>
          <w:b/>
          <w:sz w:val="22"/>
          <w:szCs w:val="30"/>
        </w:rPr>
      </w:pPr>
      <w:r w:rsidRPr="00A16D4F">
        <w:rPr>
          <w:b/>
          <w:sz w:val="22"/>
          <w:szCs w:val="30"/>
        </w:rPr>
        <w:t xml:space="preserve"> Self contained frame structure</w:t>
      </w:r>
    </w:p>
    <w:p w:rsidR="004C6A8B" w:rsidRDefault="00836840" w:rsidP="00E301E5">
      <w:pPr>
        <w:adjustRightInd/>
        <w:snapToGrid w:val="0"/>
        <w:spacing w:afterLines="50" w:line="276" w:lineRule="auto"/>
        <w:jc w:val="both"/>
        <w:rPr>
          <w:szCs w:val="20"/>
        </w:rPr>
      </w:pPr>
      <w:r>
        <w:rPr>
          <w:szCs w:val="20"/>
        </w:rPr>
        <w:t>S</w:t>
      </w:r>
      <w:r w:rsidR="00BF4E61">
        <w:rPr>
          <w:szCs w:val="20"/>
        </w:rPr>
        <w:t>elf contained frame structure</w:t>
      </w:r>
      <w:r>
        <w:rPr>
          <w:szCs w:val="20"/>
        </w:rPr>
        <w:t xml:space="preserve"> means </w:t>
      </w:r>
      <w:r>
        <w:rPr>
          <w:rFonts w:hint="eastAsia"/>
          <w:lang w:val="en-GB"/>
        </w:rPr>
        <w:t xml:space="preserve">that one TTI consists of </w:t>
      </w:r>
      <w:r>
        <w:rPr>
          <w:lang w:val="en-GB"/>
        </w:rPr>
        <w:t>downlink</w:t>
      </w:r>
      <w:r>
        <w:rPr>
          <w:rFonts w:hint="eastAsia"/>
          <w:lang w:val="en-GB"/>
        </w:rPr>
        <w:t xml:space="preserve"> control slot (DC slot), uplink control slot (UC slot) and a data slot. </w:t>
      </w:r>
      <w:r>
        <w:rPr>
          <w:lang w:val="en-GB"/>
        </w:rPr>
        <w:t>I</w:t>
      </w:r>
      <w:r>
        <w:rPr>
          <w:rFonts w:hint="eastAsia"/>
          <w:lang w:val="en-GB"/>
        </w:rPr>
        <w:t xml:space="preserve">n addition to downlink control and uplink </w:t>
      </w:r>
      <w:r>
        <w:rPr>
          <w:lang w:val="en-GB"/>
        </w:rPr>
        <w:t>control</w:t>
      </w:r>
      <w:r>
        <w:rPr>
          <w:rFonts w:hint="eastAsia"/>
          <w:lang w:val="en-GB"/>
        </w:rPr>
        <w:t xml:space="preserve"> channel, DC or UC slot can also be used for the </w:t>
      </w:r>
      <w:r>
        <w:rPr>
          <w:lang w:val="en-GB"/>
        </w:rPr>
        <w:t>transmission</w:t>
      </w:r>
      <w:r>
        <w:rPr>
          <w:rFonts w:hint="eastAsia"/>
          <w:lang w:val="en-GB"/>
        </w:rPr>
        <w:t xml:space="preserve"> of downlink or uplink reference signal.</w:t>
      </w:r>
      <w:r>
        <w:rPr>
          <w:szCs w:val="20"/>
        </w:rPr>
        <w:t xml:space="preserve"> </w:t>
      </w:r>
    </w:p>
    <w:p w:rsidR="004C6A8B" w:rsidRDefault="004C6A8B" w:rsidP="00E301E5">
      <w:pPr>
        <w:adjustRightInd/>
        <w:snapToGrid w:val="0"/>
        <w:spacing w:afterLines="50" w:line="276" w:lineRule="auto"/>
        <w:jc w:val="center"/>
        <w:rPr>
          <w:lang w:val="en-GB"/>
        </w:rPr>
      </w:pPr>
      <w:r w:rsidRPr="00D93B0C">
        <w:rPr>
          <w:lang w:val="en-GB"/>
        </w:rPr>
        <w:object w:dxaOrig="5613" w:dyaOrig="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33pt" o:ole="">
            <v:imagedata r:id="rId8" o:title=""/>
          </v:shape>
          <o:OLEObject Type="Embed" ProgID="Visio.Drawing.11" ShapeID="_x0000_i1025" DrawAspect="Content" ObjectID="_1521554857" r:id="rId9"/>
        </w:object>
      </w:r>
    </w:p>
    <w:p w:rsidR="004C6A8B" w:rsidRPr="00FC0AB8" w:rsidRDefault="004C6A8B" w:rsidP="004C6A8B">
      <w:pPr>
        <w:pStyle w:val="af4"/>
        <w:jc w:val="center"/>
        <w:rPr>
          <w:b w:val="0"/>
          <w:lang w:eastAsia="zh-CN"/>
        </w:rPr>
      </w:pPr>
      <w:bookmarkStart w:id="2" w:name="_Ref446681885"/>
      <w:r w:rsidRPr="00FC0AB8">
        <w:rPr>
          <w:b w:val="0"/>
        </w:rPr>
        <w:t>Fig</w:t>
      </w:r>
      <w:r w:rsidR="00D83F19">
        <w:rPr>
          <w:b w:val="0"/>
        </w:rPr>
        <w:t>ure</w:t>
      </w:r>
      <w:r w:rsidRPr="00FC0AB8">
        <w:rPr>
          <w:b w:val="0"/>
        </w:rPr>
        <w:t xml:space="preserve"> </w:t>
      </w:r>
      <w:bookmarkEnd w:id="2"/>
      <w:r>
        <w:rPr>
          <w:b w:val="0"/>
        </w:rPr>
        <w:t>1</w:t>
      </w:r>
      <w:r w:rsidRPr="00FC0AB8">
        <w:rPr>
          <w:rFonts w:hint="eastAsia"/>
          <w:b w:val="0"/>
          <w:lang w:eastAsia="zh-CN"/>
        </w:rPr>
        <w:t xml:space="preserve"> </w:t>
      </w:r>
      <w:r>
        <w:rPr>
          <w:rFonts w:hint="eastAsia"/>
          <w:b w:val="0"/>
          <w:lang w:eastAsia="zh-CN"/>
        </w:rPr>
        <w:t>Example for self-contained TTI</w:t>
      </w:r>
    </w:p>
    <w:p w:rsidR="00DD34F8" w:rsidRPr="00604A6E" w:rsidRDefault="004C6A8B" w:rsidP="00E301E5">
      <w:pPr>
        <w:adjustRightInd/>
        <w:snapToGrid w:val="0"/>
        <w:spacing w:afterLines="50" w:line="276" w:lineRule="auto"/>
        <w:jc w:val="both"/>
        <w:rPr>
          <w:szCs w:val="20"/>
        </w:rPr>
      </w:pPr>
      <w:r>
        <w:rPr>
          <w:szCs w:val="20"/>
          <w:lang w:val="en-GB"/>
        </w:rPr>
        <w:t xml:space="preserve">The grant, data and </w:t>
      </w:r>
      <w:r>
        <w:rPr>
          <w:szCs w:val="20"/>
        </w:rPr>
        <w:t xml:space="preserve">ACK/NACK can be all put into one TTI so that the process of data transmission is self-contained in one TTI. </w:t>
      </w:r>
      <w:r w:rsidR="00285137">
        <w:rPr>
          <w:szCs w:val="20"/>
        </w:rPr>
        <w:t>C</w:t>
      </w:r>
      <w:r>
        <w:rPr>
          <w:szCs w:val="20"/>
        </w:rPr>
        <w:t>omplicated HARQ timing and</w:t>
      </w:r>
      <w:r w:rsidR="00285137">
        <w:rPr>
          <w:szCs w:val="20"/>
        </w:rPr>
        <w:t xml:space="preserve"> data grant timing make it very hard to be compatible with future applications which may have different timing requiremen</w:t>
      </w:r>
      <w:r w:rsidR="003B40ED">
        <w:rPr>
          <w:szCs w:val="20"/>
        </w:rPr>
        <w:t xml:space="preserve">ts. </w:t>
      </w:r>
      <w:r w:rsidR="00285137">
        <w:rPr>
          <w:szCs w:val="20"/>
        </w:rPr>
        <w:t>Self-contai</w:t>
      </w:r>
      <w:r w:rsidR="00DD34F8">
        <w:rPr>
          <w:szCs w:val="20"/>
        </w:rPr>
        <w:t xml:space="preserve">ned frame structure can avoid complicated timing relationship.  </w:t>
      </w:r>
      <w:r w:rsidR="007B073F">
        <w:rPr>
          <w:szCs w:val="20"/>
        </w:rPr>
        <w:t xml:space="preserve">Moreover, it favors forward compatibility as it is easier to schedule blank resources for earlier version UEs and use those resources for </w:t>
      </w:r>
      <w:r w:rsidR="00604A6E">
        <w:rPr>
          <w:szCs w:val="20"/>
        </w:rPr>
        <w:t xml:space="preserve">introducing new signals to support new features.  </w:t>
      </w:r>
    </w:p>
    <w:p w:rsidR="00BB6344" w:rsidRPr="00A16D4F" w:rsidRDefault="00BB6344" w:rsidP="00BB6344">
      <w:pPr>
        <w:numPr>
          <w:ilvl w:val="1"/>
          <w:numId w:val="1"/>
        </w:numPr>
        <w:rPr>
          <w:b/>
          <w:sz w:val="22"/>
          <w:szCs w:val="30"/>
        </w:rPr>
      </w:pPr>
      <w:r w:rsidRPr="00A16D4F">
        <w:rPr>
          <w:b/>
          <w:sz w:val="22"/>
          <w:szCs w:val="30"/>
        </w:rPr>
        <w:lastRenderedPageBreak/>
        <w:t xml:space="preserve"> Flexible data subframes</w:t>
      </w:r>
    </w:p>
    <w:p w:rsidR="00A52FC5" w:rsidRDefault="00EE01E9" w:rsidP="00E301E5">
      <w:pPr>
        <w:adjustRightInd/>
        <w:snapToGrid w:val="0"/>
        <w:spacing w:afterLines="50" w:line="276" w:lineRule="auto"/>
        <w:jc w:val="both"/>
        <w:rPr>
          <w:szCs w:val="20"/>
          <w:lang w:val="en-GB"/>
        </w:rPr>
      </w:pPr>
      <w:r w:rsidRPr="00696B73">
        <w:rPr>
          <w:szCs w:val="20"/>
          <w:lang w:val="en-GB"/>
        </w:rPr>
        <w:t xml:space="preserve">The direction and </w:t>
      </w:r>
      <w:r w:rsidR="00BB6344" w:rsidRPr="00696B73">
        <w:rPr>
          <w:szCs w:val="20"/>
          <w:lang w:val="en-GB"/>
        </w:rPr>
        <w:t>length</w:t>
      </w:r>
      <w:r w:rsidRPr="00696B73">
        <w:rPr>
          <w:szCs w:val="20"/>
          <w:lang w:val="en-GB"/>
        </w:rPr>
        <w:t xml:space="preserve"> of data subframes</w:t>
      </w:r>
      <w:r w:rsidR="00BB6344" w:rsidRPr="00696B73">
        <w:rPr>
          <w:szCs w:val="20"/>
          <w:lang w:val="en-GB"/>
        </w:rPr>
        <w:t xml:space="preserve"> should be flexible enough to adapt different traffic a</w:t>
      </w:r>
      <w:r w:rsidR="0024567E">
        <w:rPr>
          <w:szCs w:val="20"/>
          <w:lang w:val="en-GB"/>
        </w:rPr>
        <w:t xml:space="preserve">nd applications in the future. </w:t>
      </w:r>
      <w:r w:rsidR="00487887">
        <w:rPr>
          <w:szCs w:val="20"/>
          <w:lang w:val="en-GB"/>
        </w:rPr>
        <w:t>As described in [2</w:t>
      </w:r>
      <w:r w:rsidRPr="00696B73">
        <w:rPr>
          <w:szCs w:val="20"/>
          <w:lang w:val="en-GB"/>
        </w:rPr>
        <w:t>], data slot of a TTI can be allocated flexibly with uplink or downlink data.</w:t>
      </w:r>
      <w:r w:rsidR="00A16D4F" w:rsidRPr="00696B73">
        <w:rPr>
          <w:szCs w:val="20"/>
          <w:lang w:val="en-GB"/>
        </w:rPr>
        <w:t xml:space="preserve"> </w:t>
      </w:r>
      <w:r w:rsidRPr="00696B73">
        <w:rPr>
          <w:szCs w:val="20"/>
          <w:lang w:val="en-GB"/>
        </w:rPr>
        <w:t xml:space="preserve"> The direction can be determined </w:t>
      </w:r>
      <w:r w:rsidR="00A16D4F" w:rsidRPr="00696B73">
        <w:rPr>
          <w:szCs w:val="20"/>
          <w:lang w:val="en-GB"/>
        </w:rPr>
        <w:t xml:space="preserve">dynamically </w:t>
      </w:r>
      <w:r w:rsidR="00696B73" w:rsidRPr="00696B73">
        <w:rPr>
          <w:rFonts w:hint="eastAsia"/>
          <w:szCs w:val="20"/>
          <w:lang w:val="en-GB"/>
        </w:rPr>
        <w:t>in the</w:t>
      </w:r>
      <w:r w:rsidRPr="00696B73">
        <w:rPr>
          <w:szCs w:val="20"/>
          <w:lang w:val="en-GB"/>
        </w:rPr>
        <w:t xml:space="preserve"> data grant in the same self-contained TTI. </w:t>
      </w:r>
      <w:r w:rsidR="00696B73">
        <w:rPr>
          <w:szCs w:val="20"/>
          <w:lang w:val="en-GB"/>
        </w:rPr>
        <w:t>This can achieve dynamic TDD</w:t>
      </w:r>
      <w:r w:rsidR="00696B73">
        <w:rPr>
          <w:rFonts w:hint="eastAsia"/>
          <w:szCs w:val="20"/>
          <w:lang w:val="en-GB"/>
        </w:rPr>
        <w:t xml:space="preserve"> which adapts accordingly to the downlink and uplink traffic.</w:t>
      </w:r>
      <w:r w:rsidR="00696B73" w:rsidRPr="00696B73">
        <w:rPr>
          <w:rFonts w:hint="eastAsia"/>
          <w:szCs w:val="20"/>
          <w:lang w:val="en-GB"/>
        </w:rPr>
        <w:t xml:space="preserve"> </w:t>
      </w:r>
      <w:r w:rsidR="00A16D4F" w:rsidRPr="00696B73">
        <w:rPr>
          <w:szCs w:val="20"/>
          <w:lang w:val="en-GB"/>
        </w:rPr>
        <w:t xml:space="preserve"> </w:t>
      </w:r>
    </w:p>
    <w:p w:rsidR="00A52FC5" w:rsidRDefault="00A52FC5" w:rsidP="00E301E5">
      <w:pPr>
        <w:adjustRightInd/>
        <w:snapToGrid w:val="0"/>
        <w:spacing w:afterLines="50" w:line="276" w:lineRule="auto"/>
        <w:jc w:val="center"/>
        <w:rPr>
          <w:lang w:val="en-GB"/>
        </w:rPr>
      </w:pPr>
      <w:r w:rsidRPr="00D93B0C">
        <w:rPr>
          <w:lang w:val="en-GB"/>
        </w:rPr>
        <w:object w:dxaOrig="5207" w:dyaOrig="2762">
          <v:shape id="_x0000_i1026" type="#_x0000_t75" style="width:208.5pt;height:111pt" o:ole="">
            <v:imagedata r:id="rId10" o:title=""/>
          </v:shape>
          <o:OLEObject Type="Embed" ProgID="Visio.Drawing.11" ShapeID="_x0000_i1026" DrawAspect="Content" ObjectID="_1521554858" r:id="rId11"/>
        </w:object>
      </w:r>
    </w:p>
    <w:p w:rsidR="00A52FC5" w:rsidRPr="00FC0AB8" w:rsidRDefault="00A52FC5" w:rsidP="00A52FC5">
      <w:pPr>
        <w:pStyle w:val="af4"/>
        <w:jc w:val="center"/>
        <w:rPr>
          <w:b w:val="0"/>
          <w:lang w:eastAsia="zh-CN"/>
        </w:rPr>
      </w:pPr>
      <w:bookmarkStart w:id="3" w:name="_Ref446744119"/>
      <w:r w:rsidRPr="00FC0AB8">
        <w:rPr>
          <w:b w:val="0"/>
        </w:rPr>
        <w:t>Fig</w:t>
      </w:r>
      <w:r w:rsidR="0086060B">
        <w:rPr>
          <w:b w:val="0"/>
        </w:rPr>
        <w:t>ure</w:t>
      </w:r>
      <w:r w:rsidRPr="00FC0AB8">
        <w:rPr>
          <w:b w:val="0"/>
        </w:rPr>
        <w:t xml:space="preserve"> </w:t>
      </w:r>
      <w:bookmarkEnd w:id="3"/>
      <w:r>
        <w:rPr>
          <w:b w:val="0"/>
        </w:rPr>
        <w:t>2</w:t>
      </w:r>
      <w:r w:rsidRPr="00FC0AB8">
        <w:rPr>
          <w:rFonts w:hint="eastAsia"/>
          <w:b w:val="0"/>
          <w:lang w:eastAsia="zh-CN"/>
        </w:rPr>
        <w:t xml:space="preserve"> </w:t>
      </w:r>
      <w:r>
        <w:rPr>
          <w:rFonts w:hint="eastAsia"/>
          <w:b w:val="0"/>
          <w:lang w:eastAsia="zh-CN"/>
        </w:rPr>
        <w:t>Example of TTI aggregation</w:t>
      </w:r>
    </w:p>
    <w:p w:rsidR="00CA7B1E" w:rsidRDefault="00A52FC5" w:rsidP="00E301E5">
      <w:pPr>
        <w:adjustRightInd/>
        <w:snapToGrid w:val="0"/>
        <w:spacing w:afterLines="50" w:line="276" w:lineRule="auto"/>
        <w:jc w:val="both"/>
        <w:rPr>
          <w:szCs w:val="20"/>
          <w:lang w:val="en-GB"/>
        </w:rPr>
      </w:pPr>
      <w:r>
        <w:rPr>
          <w:rFonts w:hint="eastAsia"/>
          <w:szCs w:val="20"/>
          <w:lang w:val="en-GB"/>
        </w:rPr>
        <w:t xml:space="preserve">In addition, </w:t>
      </w:r>
      <w:r w:rsidR="00EE01E9" w:rsidRPr="00696B73">
        <w:rPr>
          <w:szCs w:val="20"/>
          <w:lang w:val="en-GB"/>
        </w:rPr>
        <w:t xml:space="preserve">TTI </w:t>
      </w:r>
      <w:r>
        <w:rPr>
          <w:rFonts w:hint="eastAsia"/>
          <w:szCs w:val="20"/>
          <w:lang w:val="en-GB"/>
        </w:rPr>
        <w:t xml:space="preserve">length can adapt to the traffic type e.g. depending on the data packet size. As shown in Figure 2, TTI </w:t>
      </w:r>
      <w:r w:rsidR="00EE01E9" w:rsidRPr="00696B73">
        <w:rPr>
          <w:szCs w:val="20"/>
          <w:lang w:val="en-GB"/>
        </w:rPr>
        <w:t>aggregation can be done to form a longer TTI with longer data length.</w:t>
      </w:r>
      <w:r w:rsidR="0024567E">
        <w:rPr>
          <w:rFonts w:hint="eastAsia"/>
          <w:szCs w:val="20"/>
          <w:lang w:val="en-GB"/>
        </w:rPr>
        <w:t xml:space="preserve"> </w:t>
      </w:r>
      <w:r w:rsidR="00171139">
        <w:rPr>
          <w:rFonts w:hint="eastAsia"/>
          <w:szCs w:val="20"/>
          <w:lang w:val="en-GB"/>
        </w:rPr>
        <w:t xml:space="preserve">This can be done flexibly considering the overhead of the control signalling. </w:t>
      </w:r>
      <w:r>
        <w:rPr>
          <w:rFonts w:hint="eastAsia"/>
          <w:szCs w:val="20"/>
          <w:lang w:val="en-GB"/>
        </w:rPr>
        <w:t xml:space="preserve">   </w:t>
      </w:r>
      <w:r w:rsidR="00EE01E9" w:rsidRPr="00696B73">
        <w:rPr>
          <w:szCs w:val="20"/>
          <w:lang w:val="en-GB"/>
        </w:rPr>
        <w:t xml:space="preserve">     </w:t>
      </w:r>
    </w:p>
    <w:p w:rsidR="00B37427" w:rsidRPr="00696B73" w:rsidRDefault="00CA7B1E" w:rsidP="00E301E5">
      <w:pPr>
        <w:adjustRightInd/>
        <w:snapToGrid w:val="0"/>
        <w:spacing w:afterLines="50" w:line="276" w:lineRule="auto"/>
        <w:jc w:val="both"/>
        <w:rPr>
          <w:szCs w:val="20"/>
          <w:lang w:val="en-GB"/>
        </w:rPr>
      </w:pPr>
      <w:r>
        <w:rPr>
          <w:szCs w:val="20"/>
          <w:lang w:val="en-GB"/>
        </w:rPr>
        <w:t>Flexible data subframe design is also good fo</w:t>
      </w:r>
      <w:r w:rsidR="0024567E">
        <w:rPr>
          <w:szCs w:val="20"/>
          <w:lang w:val="en-GB"/>
        </w:rPr>
        <w:t xml:space="preserve">r flexible use of radio links. </w:t>
      </w:r>
      <w:r>
        <w:rPr>
          <w:szCs w:val="20"/>
          <w:lang w:val="en-GB"/>
        </w:rPr>
        <w:t>The radio resources can be shared by back</w:t>
      </w:r>
      <w:r w:rsidR="0024567E">
        <w:rPr>
          <w:szCs w:val="20"/>
          <w:lang w:val="en-GB"/>
        </w:rPr>
        <w:t xml:space="preserve">haul/access links dynamically. </w:t>
      </w:r>
      <w:r>
        <w:rPr>
          <w:szCs w:val="20"/>
          <w:lang w:val="en-GB"/>
        </w:rPr>
        <w:t>Moreover, dev</w:t>
      </w:r>
      <w:r w:rsidR="00273A29">
        <w:rPr>
          <w:szCs w:val="20"/>
          <w:lang w:val="en-GB"/>
        </w:rPr>
        <w:t>ice to device communication and backhaul links can also be multiplexed and share the radio resources.</w:t>
      </w:r>
      <w:r w:rsidR="00EE01E9" w:rsidRPr="00696B73">
        <w:rPr>
          <w:szCs w:val="20"/>
          <w:lang w:val="en-GB"/>
        </w:rPr>
        <w:t xml:space="preserve"> </w:t>
      </w:r>
    </w:p>
    <w:p w:rsidR="00171139" w:rsidRPr="00496C3B" w:rsidRDefault="00171139" w:rsidP="00171139">
      <w:pPr>
        <w:numPr>
          <w:ilvl w:val="1"/>
          <w:numId w:val="1"/>
        </w:numPr>
        <w:rPr>
          <w:b/>
          <w:sz w:val="22"/>
          <w:szCs w:val="30"/>
        </w:rPr>
      </w:pPr>
      <w:r w:rsidRPr="00A16D4F">
        <w:rPr>
          <w:b/>
          <w:sz w:val="22"/>
          <w:szCs w:val="30"/>
        </w:rPr>
        <w:t xml:space="preserve">Flexible </w:t>
      </w:r>
      <w:r>
        <w:rPr>
          <w:rFonts w:hint="eastAsia"/>
          <w:b/>
          <w:sz w:val="22"/>
          <w:szCs w:val="30"/>
        </w:rPr>
        <w:t>numerology</w:t>
      </w:r>
    </w:p>
    <w:p w:rsidR="0031570F" w:rsidRPr="00A279D4" w:rsidRDefault="00091B52" w:rsidP="00E301E5">
      <w:pPr>
        <w:adjustRightInd/>
        <w:snapToGrid w:val="0"/>
        <w:spacing w:afterLines="50" w:line="276" w:lineRule="auto"/>
        <w:jc w:val="both"/>
      </w:pPr>
      <w:r w:rsidRPr="00496C3B">
        <w:rPr>
          <w:szCs w:val="20"/>
          <w:lang w:val="en-GB"/>
        </w:rPr>
        <w:t xml:space="preserve">In </w:t>
      </w:r>
      <w:r w:rsidRPr="00496C3B">
        <w:rPr>
          <w:rFonts w:hint="eastAsia"/>
          <w:szCs w:val="20"/>
          <w:lang w:val="en-GB"/>
        </w:rPr>
        <w:t>NR</w:t>
      </w:r>
      <w:r w:rsidR="00B37427" w:rsidRPr="00496C3B">
        <w:rPr>
          <w:szCs w:val="20"/>
          <w:lang w:val="en-GB"/>
        </w:rPr>
        <w:t xml:space="preserve"> system, </w:t>
      </w:r>
      <w:r w:rsidR="0031570F">
        <w:rPr>
          <w:rFonts w:hint="eastAsia"/>
          <w:szCs w:val="20"/>
          <w:lang w:val="en-GB"/>
        </w:rPr>
        <w:t xml:space="preserve">it should be flexible to support </w:t>
      </w:r>
      <w:r w:rsidR="00B37427" w:rsidRPr="00496C3B">
        <w:rPr>
          <w:szCs w:val="20"/>
          <w:lang w:val="en-GB"/>
        </w:rPr>
        <w:t xml:space="preserve">different services </w:t>
      </w:r>
      <w:r w:rsidR="0031570F">
        <w:rPr>
          <w:rFonts w:hint="eastAsia"/>
          <w:szCs w:val="20"/>
          <w:lang w:val="en-GB"/>
        </w:rPr>
        <w:t>i</w:t>
      </w:r>
      <w:r w:rsidR="0031570F">
        <w:rPr>
          <w:szCs w:val="20"/>
          <w:lang w:val="en-GB"/>
        </w:rPr>
        <w:t>n different frequency bands</w:t>
      </w:r>
      <w:r w:rsidR="0031570F">
        <w:rPr>
          <w:rFonts w:hint="eastAsia"/>
          <w:szCs w:val="20"/>
          <w:lang w:val="en-GB"/>
        </w:rPr>
        <w:t>. Different services can have different requirements e.g. covera</w:t>
      </w:r>
      <w:r w:rsidR="00F15DDF">
        <w:rPr>
          <w:rFonts w:hint="eastAsia"/>
          <w:szCs w:val="20"/>
          <w:lang w:val="en-GB"/>
        </w:rPr>
        <w:t xml:space="preserve">ge, data rate and reliability. </w:t>
      </w:r>
      <w:r w:rsidR="0031570F">
        <w:rPr>
          <w:rFonts w:hint="eastAsia"/>
          <w:szCs w:val="20"/>
          <w:lang w:val="en-GB"/>
        </w:rPr>
        <w:t>Different frequency bands have different channel/interference characteristics which provide different coverage. S</w:t>
      </w:r>
      <w:r w:rsidR="00E95BF2" w:rsidRPr="00496C3B">
        <w:rPr>
          <w:szCs w:val="20"/>
          <w:lang w:val="en-GB"/>
        </w:rPr>
        <w:t xml:space="preserve">o its </w:t>
      </w:r>
      <w:r w:rsidR="0031570F">
        <w:rPr>
          <w:rFonts w:hint="eastAsia"/>
          <w:szCs w:val="20"/>
          <w:lang w:val="en-GB"/>
        </w:rPr>
        <w:t>numerology of waveform</w:t>
      </w:r>
      <w:r w:rsidR="00E95BF2" w:rsidRPr="00496C3B">
        <w:rPr>
          <w:szCs w:val="20"/>
          <w:lang w:val="en-GB"/>
        </w:rPr>
        <w:t xml:space="preserve"> </w:t>
      </w:r>
      <w:r w:rsidR="00A279D4">
        <w:rPr>
          <w:rFonts w:hint="eastAsia"/>
          <w:szCs w:val="20"/>
          <w:lang w:val="en-GB"/>
        </w:rPr>
        <w:t xml:space="preserve">and frame structure </w:t>
      </w:r>
      <w:r w:rsidR="0031570F">
        <w:rPr>
          <w:szCs w:val="20"/>
          <w:lang w:val="en-GB"/>
        </w:rPr>
        <w:t>should be different</w:t>
      </w:r>
      <w:r w:rsidR="00A279D4">
        <w:rPr>
          <w:rFonts w:hint="eastAsia"/>
          <w:szCs w:val="20"/>
          <w:lang w:val="en-GB"/>
        </w:rPr>
        <w:t xml:space="preserve"> considering different frequency ranges and service requirements</w:t>
      </w:r>
      <w:r w:rsidR="0031570F">
        <w:rPr>
          <w:rFonts w:hint="eastAsia"/>
          <w:szCs w:val="20"/>
          <w:lang w:val="en-GB"/>
        </w:rPr>
        <w:t>.</w:t>
      </w:r>
      <w:r w:rsidR="00F15DDF">
        <w:rPr>
          <w:rFonts w:hint="eastAsia"/>
          <w:szCs w:val="20"/>
          <w:lang w:val="en-GB"/>
        </w:rPr>
        <w:t xml:space="preserve"> </w:t>
      </w:r>
      <w:r w:rsidR="00A279D4">
        <w:rPr>
          <w:rFonts w:hint="eastAsia"/>
          <w:szCs w:val="20"/>
          <w:lang w:val="en-GB"/>
        </w:rPr>
        <w:t>However, the level of flexibility in different frequency r</w:t>
      </w:r>
      <w:r w:rsidR="00F15DDF">
        <w:rPr>
          <w:rFonts w:hint="eastAsia"/>
          <w:szCs w:val="20"/>
          <w:lang w:val="en-GB"/>
        </w:rPr>
        <w:t xml:space="preserve">anges is needed to be studied. </w:t>
      </w:r>
      <w:r w:rsidR="00A279D4">
        <w:rPr>
          <w:rFonts w:hint="eastAsia"/>
          <w:szCs w:val="20"/>
          <w:lang w:val="en-GB"/>
        </w:rPr>
        <w:t xml:space="preserve">Our companion contribution </w:t>
      </w:r>
      <w:r w:rsidR="00487887">
        <w:rPr>
          <w:rFonts w:hint="eastAsia"/>
          <w:szCs w:val="20"/>
          <w:lang w:val="en-GB"/>
        </w:rPr>
        <w:t>[</w:t>
      </w:r>
      <w:r w:rsidR="00487887">
        <w:rPr>
          <w:szCs w:val="20"/>
          <w:lang w:val="en-GB"/>
        </w:rPr>
        <w:t>3</w:t>
      </w:r>
      <w:r w:rsidR="00A279D4" w:rsidRPr="00496C3B">
        <w:rPr>
          <w:rFonts w:hint="eastAsia"/>
          <w:szCs w:val="20"/>
          <w:lang w:val="en-GB"/>
        </w:rPr>
        <w:t>] give</w:t>
      </w:r>
      <w:r w:rsidR="00A279D4">
        <w:rPr>
          <w:rFonts w:hint="eastAsia"/>
          <w:szCs w:val="20"/>
          <w:lang w:val="en-GB"/>
        </w:rPr>
        <w:t>s</w:t>
      </w:r>
      <w:r w:rsidR="00A279D4" w:rsidRPr="00496C3B">
        <w:rPr>
          <w:rFonts w:hint="eastAsia"/>
          <w:szCs w:val="20"/>
          <w:lang w:val="en-GB"/>
        </w:rPr>
        <w:t xml:space="preserve"> more detailed information of</w:t>
      </w:r>
      <w:r w:rsidR="0024567E">
        <w:rPr>
          <w:rFonts w:hint="eastAsia"/>
        </w:rPr>
        <w:t xml:space="preserve"> numerology. </w:t>
      </w:r>
      <w:r w:rsidR="00A279D4">
        <w:rPr>
          <w:rFonts w:hint="eastAsia"/>
        </w:rPr>
        <w:t xml:space="preserve">The basic approach is to divide </w:t>
      </w:r>
      <w:r w:rsidR="00A279D4">
        <w:t xml:space="preserve">the whole frequency range of </w:t>
      </w:r>
      <w:r w:rsidR="00F15DDF">
        <w:t>new RAT into several sub-range</w:t>
      </w:r>
      <w:r w:rsidR="00A279D4">
        <w:t>s</w:t>
      </w:r>
      <w:r w:rsidR="00F15DDF">
        <w:rPr>
          <w:rFonts w:hint="eastAsia"/>
        </w:rPr>
        <w:t xml:space="preserve">. </w:t>
      </w:r>
      <w:r w:rsidR="00A279D4">
        <w:rPr>
          <w:rFonts w:hint="eastAsia"/>
        </w:rPr>
        <w:t xml:space="preserve">For each frequency sub-range, </w:t>
      </w:r>
      <w:r w:rsidR="00A279D4">
        <w:t>one set of basic numerology is designed and can be scaled for eMBB is firstly designed for each frequency sub-range</w:t>
      </w:r>
      <w:r w:rsidR="00F15DDF">
        <w:rPr>
          <w:rFonts w:hint="eastAsia"/>
        </w:rPr>
        <w:t xml:space="preserve">. </w:t>
      </w:r>
      <w:r w:rsidR="00A279D4">
        <w:rPr>
          <w:rFonts w:hint="eastAsia"/>
        </w:rPr>
        <w:t>T</w:t>
      </w:r>
      <w:r w:rsidR="00A279D4">
        <w:t>he numerology for the specific use cases of other applications (e.g. mMBB, mMTC or URLLC) can be derived from the basic numerology of the corresponding frequency sub-range</w:t>
      </w:r>
      <w:r w:rsidR="00A279D4">
        <w:rPr>
          <w:rFonts w:hint="eastAsia"/>
        </w:rPr>
        <w:t xml:space="preserve">.  </w:t>
      </w:r>
    </w:p>
    <w:p w:rsidR="0031570F" w:rsidRPr="00D02F5A" w:rsidRDefault="00D02F5A" w:rsidP="00D02F5A">
      <w:pPr>
        <w:numPr>
          <w:ilvl w:val="0"/>
          <w:numId w:val="1"/>
        </w:numPr>
        <w:ind w:left="357" w:hanging="357"/>
        <w:rPr>
          <w:b/>
          <w:sz w:val="30"/>
          <w:szCs w:val="30"/>
        </w:rPr>
      </w:pPr>
      <w:r>
        <w:rPr>
          <w:b/>
          <w:sz w:val="30"/>
          <w:szCs w:val="30"/>
        </w:rPr>
        <w:t>User centric system design</w:t>
      </w:r>
    </w:p>
    <w:p w:rsidR="00AE3567" w:rsidRDefault="00D02F5A" w:rsidP="00E301E5">
      <w:pPr>
        <w:adjustRightInd/>
        <w:snapToGrid w:val="0"/>
        <w:spacing w:afterLines="50" w:line="276" w:lineRule="auto"/>
        <w:jc w:val="both"/>
        <w:rPr>
          <w:szCs w:val="20"/>
        </w:rPr>
      </w:pPr>
      <w:r>
        <w:rPr>
          <w:szCs w:val="20"/>
        </w:rPr>
        <w:t>In LTE,</w:t>
      </w:r>
      <w:r w:rsidR="004137FF">
        <w:rPr>
          <w:szCs w:val="20"/>
        </w:rPr>
        <w:t xml:space="preserve"> system was</w:t>
      </w:r>
      <w:r>
        <w:rPr>
          <w:szCs w:val="20"/>
        </w:rPr>
        <w:t xml:space="preserve"> designed </w:t>
      </w:r>
      <w:r w:rsidR="004137FF">
        <w:rPr>
          <w:szCs w:val="20"/>
        </w:rPr>
        <w:t>based</w:t>
      </w:r>
      <w:r w:rsidR="00AE3567">
        <w:rPr>
          <w:szCs w:val="20"/>
        </w:rPr>
        <w:t xml:space="preserve"> </w:t>
      </w:r>
      <w:r w:rsidR="004137FF">
        <w:rPr>
          <w:szCs w:val="20"/>
        </w:rPr>
        <w:t>on cell centric manner. Signals/channels including reference signals, common channels are cell speci</w:t>
      </w:r>
      <w:r w:rsidR="00F15DDF">
        <w:rPr>
          <w:szCs w:val="20"/>
        </w:rPr>
        <w:t xml:space="preserve">fic based on physical cell ID. </w:t>
      </w:r>
      <w:r w:rsidR="004137FF">
        <w:rPr>
          <w:szCs w:val="20"/>
        </w:rPr>
        <w:t>Later in LTE-Advanced, the trend is to reduce the coupling with physical cell ID. e.g. Reference signals are based on UE specific configurable virtual cell ID.  This made it more flexible for adapting to</w:t>
      </w:r>
      <w:r w:rsidR="00F15DDF">
        <w:rPr>
          <w:szCs w:val="20"/>
        </w:rPr>
        <w:t xml:space="preserve"> different network deployment. </w:t>
      </w:r>
      <w:r w:rsidR="004137FF">
        <w:rPr>
          <w:szCs w:val="20"/>
        </w:rPr>
        <w:t>However, to support legacy LTE UEs, the mandatory cell specific signals are still transmitted</w:t>
      </w:r>
      <w:r w:rsidR="00496761">
        <w:rPr>
          <w:szCs w:val="20"/>
        </w:rPr>
        <w:t xml:space="preserve"> periodically</w:t>
      </w:r>
      <w:r w:rsidR="00F15DDF">
        <w:rPr>
          <w:szCs w:val="20"/>
        </w:rPr>
        <w:t xml:space="preserve">. </w:t>
      </w:r>
      <w:r w:rsidR="004137FF">
        <w:rPr>
          <w:szCs w:val="20"/>
        </w:rPr>
        <w:t xml:space="preserve">This </w:t>
      </w:r>
      <w:r w:rsidR="00496761">
        <w:rPr>
          <w:szCs w:val="20"/>
        </w:rPr>
        <w:t>incurs</w:t>
      </w:r>
      <w:r w:rsidR="004137FF">
        <w:rPr>
          <w:szCs w:val="20"/>
        </w:rPr>
        <w:t xml:space="preserve"> issues </w:t>
      </w:r>
      <w:r w:rsidR="00496761">
        <w:rPr>
          <w:szCs w:val="20"/>
        </w:rPr>
        <w:t>like</w:t>
      </w:r>
      <w:r w:rsidR="004137FF">
        <w:rPr>
          <w:szCs w:val="20"/>
        </w:rPr>
        <w:t xml:space="preserve"> interference and power consumption issues. </w:t>
      </w:r>
    </w:p>
    <w:p w:rsidR="00AE3567" w:rsidRDefault="00AE3567" w:rsidP="00E301E5">
      <w:pPr>
        <w:adjustRightInd/>
        <w:snapToGrid w:val="0"/>
        <w:spacing w:afterLines="50" w:line="276" w:lineRule="auto"/>
        <w:jc w:val="both"/>
        <w:rPr>
          <w:szCs w:val="20"/>
        </w:rPr>
      </w:pPr>
      <w:r>
        <w:rPr>
          <w:szCs w:val="20"/>
        </w:rPr>
        <w:t>In NR system, it is expected to be based more on virtual nod</w:t>
      </w:r>
      <w:r w:rsidR="00F15DDF">
        <w:rPr>
          <w:szCs w:val="20"/>
        </w:rPr>
        <w:t xml:space="preserve">es rather than physical cells. </w:t>
      </w:r>
      <w:r>
        <w:rPr>
          <w:szCs w:val="20"/>
        </w:rPr>
        <w:t>The virtual nodes include beams based virtual c</w:t>
      </w:r>
      <w:r w:rsidR="00F15DDF">
        <w:rPr>
          <w:szCs w:val="20"/>
        </w:rPr>
        <w:t xml:space="preserve">ell which is more UE specific. </w:t>
      </w:r>
      <w:r>
        <w:rPr>
          <w:szCs w:val="20"/>
        </w:rPr>
        <w:t>T</w:t>
      </w:r>
      <w:r w:rsidR="00496761">
        <w:rPr>
          <w:szCs w:val="20"/>
        </w:rPr>
        <w:t xml:space="preserve">he NR system design should be flexible and let the network choose to transmit signals only when it is necessary. </w:t>
      </w:r>
      <w:r w:rsidR="006A42F6">
        <w:rPr>
          <w:szCs w:val="20"/>
        </w:rPr>
        <w:t xml:space="preserve">To ensure good forward compatibility, the design principle </w:t>
      </w:r>
      <w:r w:rsidR="00CA7B1E">
        <w:rPr>
          <w:szCs w:val="20"/>
        </w:rPr>
        <w:t>is to minimize mandatory signals in the network for lower interference and better network efficiency.</w:t>
      </w:r>
      <w:r w:rsidR="00496761">
        <w:rPr>
          <w:szCs w:val="20"/>
        </w:rPr>
        <w:t xml:space="preserve"> </w:t>
      </w:r>
      <w:r w:rsidR="00CA7B1E">
        <w:rPr>
          <w:szCs w:val="20"/>
        </w:rPr>
        <w:t xml:space="preserve"> In the following sub-sections, </w:t>
      </w:r>
      <w:r w:rsidR="00496761">
        <w:rPr>
          <w:szCs w:val="20"/>
        </w:rPr>
        <w:t xml:space="preserve">we discuss the flexible </w:t>
      </w:r>
      <w:r w:rsidR="00CA7B1E">
        <w:rPr>
          <w:szCs w:val="20"/>
        </w:rPr>
        <w:t xml:space="preserve">design using the examples </w:t>
      </w:r>
      <w:r w:rsidR="00496761">
        <w:rPr>
          <w:szCs w:val="20"/>
        </w:rPr>
        <w:t xml:space="preserve">of reference signals and </w:t>
      </w:r>
      <w:r w:rsidR="00CA7B1E">
        <w:rPr>
          <w:szCs w:val="20"/>
        </w:rPr>
        <w:t>broadcast channel for system information</w:t>
      </w:r>
      <w:r w:rsidR="00496761">
        <w:rPr>
          <w:szCs w:val="20"/>
        </w:rPr>
        <w:t>.</w:t>
      </w:r>
    </w:p>
    <w:p w:rsidR="00D06F85" w:rsidRDefault="00D06F85" w:rsidP="00E301E5">
      <w:pPr>
        <w:adjustRightInd/>
        <w:snapToGrid w:val="0"/>
        <w:spacing w:afterLines="50" w:line="276" w:lineRule="auto"/>
        <w:jc w:val="both"/>
        <w:rPr>
          <w:szCs w:val="20"/>
        </w:rPr>
      </w:pPr>
    </w:p>
    <w:p w:rsidR="00AE3567" w:rsidRPr="00AE3567" w:rsidRDefault="00AE3567" w:rsidP="00E301E5">
      <w:pPr>
        <w:adjustRightInd/>
        <w:snapToGrid w:val="0"/>
        <w:spacing w:afterLines="50" w:line="276" w:lineRule="auto"/>
        <w:jc w:val="both"/>
        <w:rPr>
          <w:b/>
          <w:sz w:val="22"/>
        </w:rPr>
      </w:pPr>
      <w:r w:rsidRPr="00AE3567">
        <w:rPr>
          <w:b/>
          <w:sz w:val="22"/>
        </w:rPr>
        <w:lastRenderedPageBreak/>
        <w:t>3.1 Reference Signals</w:t>
      </w:r>
    </w:p>
    <w:p w:rsidR="007A2D26" w:rsidRDefault="00AE3567" w:rsidP="00E301E5">
      <w:pPr>
        <w:adjustRightInd/>
        <w:snapToGrid w:val="0"/>
        <w:spacing w:afterLines="50" w:line="276" w:lineRule="auto"/>
        <w:jc w:val="both"/>
        <w:rPr>
          <w:szCs w:val="20"/>
          <w:lang w:val="en-GB"/>
        </w:rPr>
      </w:pPr>
      <w:r>
        <w:rPr>
          <w:szCs w:val="20"/>
          <w:lang w:val="en-GB"/>
        </w:rPr>
        <w:t>Reference signals are traditionally used for</w:t>
      </w:r>
      <w:r w:rsidR="00F15DDF">
        <w:rPr>
          <w:szCs w:val="20"/>
          <w:lang w:val="en-GB"/>
        </w:rPr>
        <w:t xml:space="preserve"> measurement and demodulation. </w:t>
      </w:r>
      <w:r>
        <w:rPr>
          <w:szCs w:val="20"/>
          <w:lang w:val="en-GB"/>
        </w:rPr>
        <w:t xml:space="preserve">Reference signal contamination issue can be a major issue to the network if reference </w:t>
      </w:r>
      <w:r w:rsidR="0024567E">
        <w:rPr>
          <w:szCs w:val="20"/>
          <w:lang w:val="en-GB"/>
        </w:rPr>
        <w:t>signals are not designed well. For example i</w:t>
      </w:r>
      <w:r w:rsidR="007A2D26">
        <w:rPr>
          <w:szCs w:val="20"/>
          <w:lang w:val="en-GB"/>
        </w:rPr>
        <w:t>n LTE, CRS interference significantly reduces the network capacity if there is no interference cancellation. Therefore, the reference signals should be trans</w:t>
      </w:r>
      <w:r w:rsidR="00F15DDF">
        <w:rPr>
          <w:szCs w:val="20"/>
          <w:lang w:val="en-GB"/>
        </w:rPr>
        <w:t xml:space="preserve">mitted only when it is needed. </w:t>
      </w:r>
      <w:r w:rsidR="007A2D26">
        <w:rPr>
          <w:szCs w:val="20"/>
          <w:lang w:val="en-GB"/>
        </w:rPr>
        <w:t>Fi</w:t>
      </w:r>
      <w:r w:rsidR="003A6500">
        <w:rPr>
          <w:szCs w:val="20"/>
          <w:lang w:val="en-GB"/>
        </w:rPr>
        <w:t>gure 3 illustrates dynamic configuration of</w:t>
      </w:r>
      <w:r w:rsidR="00F15DDF">
        <w:rPr>
          <w:szCs w:val="20"/>
          <w:lang w:val="en-GB"/>
        </w:rPr>
        <w:t xml:space="preserve"> aperiodic CSI measurement RS. </w:t>
      </w:r>
      <w:r w:rsidR="003A6500">
        <w:rPr>
          <w:szCs w:val="20"/>
          <w:lang w:val="en-GB"/>
        </w:rPr>
        <w:t>The aperiodic reference signal is transmitted only when the CSI measurement is triggered.</w:t>
      </w:r>
    </w:p>
    <w:p w:rsidR="007A2D26" w:rsidRPr="009917BE" w:rsidRDefault="003B6109" w:rsidP="00704A9A">
      <w:pPr>
        <w:spacing w:before="120" w:after="120"/>
        <w:jc w:val="center"/>
        <w:rPr>
          <w:szCs w:val="20"/>
        </w:rPr>
      </w:pPr>
      <w:bookmarkStart w:id="4" w:name="OLE_LINK5"/>
      <w:bookmarkStart w:id="5" w:name="OLE_LINK6"/>
      <w:bookmarkStart w:id="6" w:name="OLE_LINK7"/>
      <w:bookmarkStart w:id="7" w:name="OLE_LINK12"/>
      <w:r>
        <w:rPr>
          <w:noProof/>
        </w:rPr>
        <w:drawing>
          <wp:inline distT="0" distB="0" distL="0" distR="0">
            <wp:extent cx="4090009" cy="1092200"/>
            <wp:effectExtent l="19050" t="0" r="5741"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srcRect/>
                    <a:stretch>
                      <a:fillRect/>
                    </a:stretch>
                  </pic:blipFill>
                  <pic:spPr bwMode="auto">
                    <a:xfrm>
                      <a:off x="0" y="0"/>
                      <a:ext cx="4090538" cy="1092341"/>
                    </a:xfrm>
                    <a:prstGeom prst="rect">
                      <a:avLst/>
                    </a:prstGeom>
                    <a:noFill/>
                    <a:ln w="9525">
                      <a:noFill/>
                      <a:miter lim="800000"/>
                      <a:headEnd/>
                      <a:tailEnd/>
                    </a:ln>
                  </pic:spPr>
                </pic:pic>
              </a:graphicData>
            </a:graphic>
          </wp:inline>
        </w:drawing>
      </w:r>
      <w:r>
        <w:object w:dxaOrig="2165" w:dyaOrig="1833">
          <v:shape id="_x0000_i1027" type="#_x0000_t75" style="width:122pt;height:93pt" o:ole="">
            <v:imagedata r:id="rId13" o:title=""/>
          </v:shape>
          <o:OLEObject Type="Embed" ProgID="Visio.Drawing.11" ShapeID="_x0000_i1027" DrawAspect="Content" ObjectID="_1521554859" r:id="rId14"/>
        </w:object>
      </w:r>
      <w:bookmarkEnd w:id="4"/>
      <w:bookmarkEnd w:id="5"/>
      <w:bookmarkEnd w:id="6"/>
      <w:bookmarkEnd w:id="7"/>
    </w:p>
    <w:p w:rsidR="007A2D26" w:rsidRDefault="007A2D26" w:rsidP="007A2D26">
      <w:pPr>
        <w:spacing w:before="120" w:after="120"/>
        <w:jc w:val="both"/>
        <w:rPr>
          <w:rFonts w:hAnsi="SimSun" w:hint="eastAsia"/>
          <w:szCs w:val="20"/>
        </w:rPr>
      </w:pPr>
      <w:bookmarkStart w:id="8" w:name="OLE_LINK10"/>
      <w:bookmarkStart w:id="9" w:name="OLE_LINK11"/>
      <w:r>
        <w:rPr>
          <w:rFonts w:hint="eastAsia"/>
        </w:rPr>
        <w:t xml:space="preserve">          </w:t>
      </w:r>
      <w:r w:rsidRPr="005C6852">
        <w:rPr>
          <w:rFonts w:hAnsi="SimSun" w:hint="eastAsia"/>
          <w:szCs w:val="20"/>
        </w:rPr>
        <w:t xml:space="preserve">Figure </w:t>
      </w:r>
      <w:r>
        <w:rPr>
          <w:rFonts w:hAnsi="SimSun"/>
          <w:szCs w:val="20"/>
        </w:rPr>
        <w:t>3</w:t>
      </w:r>
      <w:r w:rsidRPr="005C6852">
        <w:rPr>
          <w:rFonts w:hAnsi="SimSun" w:hint="eastAsia"/>
          <w:szCs w:val="20"/>
        </w:rPr>
        <w:t xml:space="preserve"> </w:t>
      </w:r>
      <w:r>
        <w:rPr>
          <w:rFonts w:hAnsi="SimSun"/>
          <w:szCs w:val="20"/>
        </w:rPr>
        <w:t>Dynamic c</w:t>
      </w:r>
      <w:r w:rsidRPr="005C6852">
        <w:rPr>
          <w:rFonts w:hAnsi="SimSun" w:hint="eastAsia"/>
          <w:szCs w:val="20"/>
        </w:rPr>
        <w:t xml:space="preserve">onfiguration of aperiodic </w:t>
      </w:r>
      <w:r>
        <w:rPr>
          <w:rFonts w:hAnsi="SimSun"/>
          <w:szCs w:val="20"/>
        </w:rPr>
        <w:t>measurement RS</w:t>
      </w:r>
      <w:r w:rsidRPr="005C6852">
        <w:rPr>
          <w:rFonts w:hAnsi="SimSun" w:hint="eastAsia"/>
          <w:szCs w:val="20"/>
        </w:rPr>
        <w:t xml:space="preserve"> in different domains</w:t>
      </w:r>
    </w:p>
    <w:bookmarkEnd w:id="8"/>
    <w:bookmarkEnd w:id="9"/>
    <w:p w:rsidR="007A2D26" w:rsidRDefault="003A6500" w:rsidP="00E301E5">
      <w:pPr>
        <w:adjustRightInd/>
        <w:snapToGrid w:val="0"/>
        <w:spacing w:afterLines="50" w:line="276" w:lineRule="auto"/>
        <w:jc w:val="both"/>
        <w:rPr>
          <w:szCs w:val="20"/>
          <w:lang w:val="en-GB"/>
        </w:rPr>
      </w:pPr>
      <w:r>
        <w:rPr>
          <w:szCs w:val="20"/>
          <w:lang w:val="en-GB"/>
        </w:rPr>
        <w:t xml:space="preserve">Moreover, the granularity and overhead of reference signals should be flexibly configured depending on the different requirements of CSI measurement for different services and scenarios. </w:t>
      </w:r>
      <w:r w:rsidR="006A185C">
        <w:rPr>
          <w:szCs w:val="20"/>
          <w:lang w:val="en-GB"/>
        </w:rPr>
        <w:t>In some cases, dedicated mea</w:t>
      </w:r>
      <w:r w:rsidR="0024567E">
        <w:rPr>
          <w:szCs w:val="20"/>
          <w:lang w:val="en-GB"/>
        </w:rPr>
        <w:t>surement RS may not be needed since</w:t>
      </w:r>
      <w:r w:rsidR="006A185C">
        <w:rPr>
          <w:szCs w:val="20"/>
          <w:lang w:val="en-GB"/>
        </w:rPr>
        <w:t xml:space="preserve"> the link adaption can rely solely on demodulation RS or soft HARQ feedback.</w:t>
      </w:r>
      <w:r w:rsidR="00DB1F3B">
        <w:rPr>
          <w:szCs w:val="20"/>
          <w:lang w:val="en-GB"/>
        </w:rPr>
        <w:t xml:space="preserve">  </w:t>
      </w:r>
    </w:p>
    <w:p w:rsidR="006A42F6" w:rsidRPr="00220CE0" w:rsidRDefault="003A6500" w:rsidP="00E301E5">
      <w:pPr>
        <w:adjustRightInd/>
        <w:snapToGrid w:val="0"/>
        <w:spacing w:afterLines="50" w:line="276" w:lineRule="auto"/>
        <w:jc w:val="both"/>
        <w:rPr>
          <w:b/>
          <w:sz w:val="22"/>
        </w:rPr>
      </w:pPr>
      <w:r w:rsidRPr="00AE3567">
        <w:rPr>
          <w:b/>
          <w:sz w:val="22"/>
        </w:rPr>
        <w:t>3.</w:t>
      </w:r>
      <w:r>
        <w:rPr>
          <w:b/>
          <w:sz w:val="22"/>
        </w:rPr>
        <w:t>2</w:t>
      </w:r>
      <w:r w:rsidRPr="00AE3567">
        <w:rPr>
          <w:b/>
          <w:sz w:val="22"/>
        </w:rPr>
        <w:t xml:space="preserve"> </w:t>
      </w:r>
      <w:r w:rsidR="006A42F6">
        <w:rPr>
          <w:b/>
          <w:sz w:val="22"/>
        </w:rPr>
        <w:t xml:space="preserve">Broadcast </w:t>
      </w:r>
      <w:r w:rsidR="00CA7B1E">
        <w:rPr>
          <w:b/>
          <w:sz w:val="22"/>
        </w:rPr>
        <w:t>channel</w:t>
      </w:r>
      <w:r w:rsidR="006A42F6">
        <w:rPr>
          <w:b/>
          <w:sz w:val="22"/>
        </w:rPr>
        <w:t xml:space="preserve"> for system i</w:t>
      </w:r>
      <w:r>
        <w:rPr>
          <w:b/>
          <w:sz w:val="22"/>
        </w:rPr>
        <w:t>nformation</w:t>
      </w:r>
    </w:p>
    <w:p w:rsidR="00487887" w:rsidRDefault="00487887" w:rsidP="00E301E5">
      <w:pPr>
        <w:adjustRightInd/>
        <w:snapToGrid w:val="0"/>
        <w:spacing w:afterLines="50" w:line="276" w:lineRule="auto"/>
        <w:jc w:val="both"/>
        <w:rPr>
          <w:szCs w:val="20"/>
          <w:lang w:val="en-GB"/>
        </w:rPr>
      </w:pPr>
      <w:r>
        <w:rPr>
          <w:szCs w:val="20"/>
          <w:lang w:val="en-GB"/>
        </w:rPr>
        <w:t>According to the SID [1], both LTE assisted and standalone operation modes are considered. Standalone operation modes may n</w:t>
      </w:r>
      <w:r w:rsidR="00F15DDF">
        <w:rPr>
          <w:szCs w:val="20"/>
          <w:lang w:val="en-GB"/>
        </w:rPr>
        <w:t xml:space="preserve">ot be standardized in Phase I. </w:t>
      </w:r>
      <w:r>
        <w:rPr>
          <w:szCs w:val="20"/>
          <w:lang w:val="en-GB"/>
        </w:rPr>
        <w:t xml:space="preserve">However, when we design the LTE assisted operation mode, we should </w:t>
      </w:r>
      <w:r w:rsidR="00AD0C4F">
        <w:rPr>
          <w:szCs w:val="20"/>
          <w:lang w:val="en-GB"/>
        </w:rPr>
        <w:t xml:space="preserve">also </w:t>
      </w:r>
      <w:r>
        <w:rPr>
          <w:szCs w:val="20"/>
          <w:lang w:val="en-GB"/>
        </w:rPr>
        <w:t xml:space="preserve">keep in mind of standalone operation and strive for using common framework for initial access.  One of the issues for initial </w:t>
      </w:r>
      <w:r w:rsidR="00075E59">
        <w:rPr>
          <w:szCs w:val="20"/>
          <w:lang w:val="en-GB"/>
        </w:rPr>
        <w:t>access</w:t>
      </w:r>
      <w:r>
        <w:rPr>
          <w:szCs w:val="20"/>
          <w:lang w:val="en-GB"/>
        </w:rPr>
        <w:t xml:space="preserve"> is broadcasting system information.</w:t>
      </w:r>
    </w:p>
    <w:p w:rsidR="006A42F6" w:rsidRPr="006A42F6" w:rsidRDefault="006A42F6" w:rsidP="00E301E5">
      <w:pPr>
        <w:adjustRightInd/>
        <w:snapToGrid w:val="0"/>
        <w:spacing w:afterLines="50" w:line="276" w:lineRule="auto"/>
        <w:jc w:val="both"/>
        <w:rPr>
          <w:szCs w:val="20"/>
          <w:lang w:val="en-GB"/>
        </w:rPr>
      </w:pPr>
      <w:r w:rsidRPr="006A42F6">
        <w:rPr>
          <w:szCs w:val="20"/>
          <w:lang w:val="en-GB"/>
        </w:rPr>
        <w:t>T</w:t>
      </w:r>
      <w:r w:rsidRPr="006A42F6">
        <w:rPr>
          <w:rFonts w:hint="eastAsia"/>
          <w:szCs w:val="20"/>
          <w:lang w:val="en-GB"/>
        </w:rPr>
        <w:t xml:space="preserve">he </w:t>
      </w:r>
      <w:r w:rsidR="00701823">
        <w:rPr>
          <w:szCs w:val="20"/>
          <w:lang w:val="en-GB"/>
        </w:rPr>
        <w:t xml:space="preserve">content </w:t>
      </w:r>
      <w:r w:rsidR="00705FA6">
        <w:rPr>
          <w:szCs w:val="20"/>
          <w:lang w:val="en-GB"/>
        </w:rPr>
        <w:t xml:space="preserve">of </w:t>
      </w:r>
      <w:r w:rsidRPr="006A42F6">
        <w:rPr>
          <w:rFonts w:hint="eastAsia"/>
          <w:szCs w:val="20"/>
          <w:lang w:val="en-GB"/>
        </w:rPr>
        <w:t xml:space="preserve">system information </w:t>
      </w:r>
      <w:r w:rsidR="00705FA6">
        <w:rPr>
          <w:szCs w:val="20"/>
          <w:lang w:val="en-GB"/>
        </w:rPr>
        <w:t xml:space="preserve">has </w:t>
      </w:r>
      <w:r w:rsidR="00705FA6">
        <w:rPr>
          <w:rFonts w:hint="eastAsia"/>
          <w:szCs w:val="20"/>
          <w:lang w:val="en-GB"/>
        </w:rPr>
        <w:t>bec</w:t>
      </w:r>
      <w:r w:rsidR="00705FA6">
        <w:rPr>
          <w:szCs w:val="20"/>
          <w:lang w:val="en-GB"/>
        </w:rPr>
        <w:t>o</w:t>
      </w:r>
      <w:r w:rsidRPr="006A42F6">
        <w:rPr>
          <w:rFonts w:hint="eastAsia"/>
          <w:szCs w:val="20"/>
          <w:lang w:val="en-GB"/>
        </w:rPr>
        <w:t xml:space="preserve">me </w:t>
      </w:r>
      <w:r w:rsidR="00705FA6">
        <w:rPr>
          <w:szCs w:val="20"/>
          <w:lang w:val="en-GB"/>
        </w:rPr>
        <w:t>more</w:t>
      </w:r>
      <w:r w:rsidRPr="006A42F6">
        <w:rPr>
          <w:rFonts w:hint="eastAsia"/>
          <w:szCs w:val="20"/>
          <w:lang w:val="en-GB"/>
        </w:rPr>
        <w:t xml:space="preserve"> </w:t>
      </w:r>
      <w:r w:rsidR="00705FA6">
        <w:rPr>
          <w:szCs w:val="20"/>
          <w:lang w:val="en-GB"/>
        </w:rPr>
        <w:t xml:space="preserve">and more </w:t>
      </w:r>
      <w:r w:rsidRPr="006A42F6">
        <w:rPr>
          <w:rFonts w:hint="eastAsia"/>
          <w:szCs w:val="20"/>
          <w:lang w:val="en-GB"/>
        </w:rPr>
        <w:t xml:space="preserve">gradually from </w:t>
      </w:r>
      <w:r w:rsidR="00273A29">
        <w:rPr>
          <w:szCs w:val="20"/>
          <w:lang w:val="en-GB"/>
        </w:rPr>
        <w:t>Rel-</w:t>
      </w:r>
      <w:r w:rsidRPr="006A42F6">
        <w:rPr>
          <w:rFonts w:hint="eastAsia"/>
          <w:szCs w:val="20"/>
          <w:lang w:val="en-GB"/>
        </w:rPr>
        <w:t xml:space="preserve">8 which only </w:t>
      </w:r>
      <w:r w:rsidRPr="006A42F6">
        <w:rPr>
          <w:szCs w:val="20"/>
          <w:lang w:val="en-GB"/>
        </w:rPr>
        <w:t>included</w:t>
      </w:r>
      <w:r w:rsidRPr="006A42F6">
        <w:rPr>
          <w:rFonts w:hint="eastAsia"/>
          <w:szCs w:val="20"/>
          <w:lang w:val="en-GB"/>
        </w:rPr>
        <w:t xml:space="preserve"> eleven </w:t>
      </w:r>
      <w:proofErr w:type="spellStart"/>
      <w:r w:rsidRPr="006A42F6">
        <w:rPr>
          <w:rFonts w:hint="eastAsia"/>
          <w:szCs w:val="20"/>
          <w:lang w:val="en-GB"/>
        </w:rPr>
        <w:t>SIBs</w:t>
      </w:r>
      <w:proofErr w:type="spellEnd"/>
      <w:r w:rsidR="00705FA6">
        <w:rPr>
          <w:szCs w:val="20"/>
          <w:lang w:val="en-GB"/>
        </w:rPr>
        <w:t xml:space="preserve"> and</w:t>
      </w:r>
      <w:r w:rsidRPr="006A42F6">
        <w:rPr>
          <w:rFonts w:hint="eastAsia"/>
          <w:szCs w:val="20"/>
          <w:lang w:val="en-GB"/>
        </w:rPr>
        <w:t xml:space="preserve"> due to more SIBs were </w:t>
      </w:r>
      <w:r w:rsidR="00705FA6">
        <w:rPr>
          <w:rFonts w:hint="eastAsia"/>
          <w:szCs w:val="20"/>
          <w:lang w:val="en-GB"/>
        </w:rPr>
        <w:t>introduced for new features</w:t>
      </w:r>
      <w:r w:rsidR="00705FA6">
        <w:rPr>
          <w:szCs w:val="20"/>
          <w:lang w:val="en-GB"/>
        </w:rPr>
        <w:t xml:space="preserve">. </w:t>
      </w:r>
      <w:r w:rsidR="00705FA6">
        <w:rPr>
          <w:rFonts w:hint="eastAsia"/>
          <w:szCs w:val="20"/>
          <w:lang w:val="en-GB"/>
        </w:rPr>
        <w:t xml:space="preserve"> </w:t>
      </w:r>
      <w:r w:rsidR="00705FA6">
        <w:rPr>
          <w:szCs w:val="20"/>
          <w:lang w:val="en-GB"/>
        </w:rPr>
        <w:t>T</w:t>
      </w:r>
      <w:r w:rsidRPr="006A42F6">
        <w:rPr>
          <w:rFonts w:hint="eastAsia"/>
          <w:szCs w:val="20"/>
          <w:lang w:val="en-GB"/>
        </w:rPr>
        <w:t xml:space="preserve">his tendency will continue according the current mechanism. </w:t>
      </w:r>
      <w:r w:rsidRPr="006A42F6">
        <w:rPr>
          <w:szCs w:val="20"/>
          <w:lang w:val="en-GB"/>
        </w:rPr>
        <w:t>H</w:t>
      </w:r>
      <w:r w:rsidRPr="006A42F6">
        <w:rPr>
          <w:rFonts w:hint="eastAsia"/>
          <w:szCs w:val="20"/>
          <w:lang w:val="en-GB"/>
        </w:rPr>
        <w:t>owever, the later-introduced SIBs are usually only needed by the UEs which sup</w:t>
      </w:r>
      <w:r w:rsidR="00705FA6">
        <w:rPr>
          <w:rFonts w:hint="eastAsia"/>
          <w:szCs w:val="20"/>
          <w:lang w:val="en-GB"/>
        </w:rPr>
        <w:t>port the corresponding features</w:t>
      </w:r>
      <w:r w:rsidR="00705FA6">
        <w:rPr>
          <w:szCs w:val="20"/>
          <w:lang w:val="en-GB"/>
        </w:rPr>
        <w:t>.  M</w:t>
      </w:r>
      <w:r w:rsidRPr="006A42F6">
        <w:rPr>
          <w:rFonts w:hint="eastAsia"/>
          <w:szCs w:val="20"/>
          <w:lang w:val="en-GB"/>
        </w:rPr>
        <w:t xml:space="preserve">any SIBs broadcasting periodically are only useful for few UEs and even are useless because no UE in the cell need them sometime. </w:t>
      </w:r>
      <w:r w:rsidRPr="006A42F6">
        <w:rPr>
          <w:szCs w:val="20"/>
          <w:lang w:val="en-GB"/>
        </w:rPr>
        <w:t>T</w:t>
      </w:r>
      <w:r w:rsidRPr="006A42F6">
        <w:rPr>
          <w:rFonts w:hint="eastAsia"/>
          <w:szCs w:val="20"/>
          <w:lang w:val="en-GB"/>
        </w:rPr>
        <w:t xml:space="preserve">hat is to say, the </w:t>
      </w:r>
      <w:r w:rsidRPr="006A42F6">
        <w:rPr>
          <w:szCs w:val="20"/>
          <w:lang w:val="en-GB"/>
        </w:rPr>
        <w:t>efficiency</w:t>
      </w:r>
      <w:r w:rsidRPr="006A42F6">
        <w:rPr>
          <w:rFonts w:hint="eastAsia"/>
          <w:szCs w:val="20"/>
          <w:lang w:val="en-GB"/>
        </w:rPr>
        <w:t xml:space="preserve"> of the broadcast resource will be lower as more </w:t>
      </w:r>
      <w:proofErr w:type="spellStart"/>
      <w:r w:rsidRPr="006A42F6">
        <w:rPr>
          <w:rFonts w:hint="eastAsia"/>
          <w:szCs w:val="20"/>
          <w:lang w:val="en-GB"/>
        </w:rPr>
        <w:t>SIBs</w:t>
      </w:r>
      <w:proofErr w:type="spellEnd"/>
      <w:r w:rsidRPr="006A42F6">
        <w:rPr>
          <w:rFonts w:hint="eastAsia"/>
          <w:szCs w:val="20"/>
          <w:lang w:val="en-GB"/>
        </w:rPr>
        <w:t xml:space="preserve"> </w:t>
      </w:r>
      <w:r w:rsidR="00705FA6">
        <w:rPr>
          <w:szCs w:val="20"/>
          <w:lang w:val="en-GB"/>
        </w:rPr>
        <w:t xml:space="preserve">are </w:t>
      </w:r>
      <w:r w:rsidRPr="006A42F6">
        <w:rPr>
          <w:rFonts w:hint="eastAsia"/>
          <w:szCs w:val="20"/>
          <w:lang w:val="en-GB"/>
        </w:rPr>
        <w:t xml:space="preserve">introduced. </w:t>
      </w:r>
      <w:r w:rsidRPr="006A42F6">
        <w:rPr>
          <w:szCs w:val="20"/>
          <w:lang w:val="en-GB"/>
        </w:rPr>
        <w:t>I</w:t>
      </w:r>
      <w:r w:rsidRPr="006A42F6">
        <w:rPr>
          <w:rFonts w:hint="eastAsia"/>
          <w:szCs w:val="20"/>
          <w:lang w:val="en-GB"/>
        </w:rPr>
        <w:t xml:space="preserve">n </w:t>
      </w:r>
      <w:r w:rsidRPr="006A42F6">
        <w:rPr>
          <w:szCs w:val="20"/>
          <w:lang w:val="en-GB"/>
        </w:rPr>
        <w:t>NR</w:t>
      </w:r>
      <w:r w:rsidRPr="006A42F6">
        <w:rPr>
          <w:rFonts w:hint="eastAsia"/>
          <w:szCs w:val="20"/>
          <w:lang w:val="en-GB"/>
        </w:rPr>
        <w:t>, especially for the hig</w:t>
      </w:r>
      <w:r w:rsidR="00273A29">
        <w:rPr>
          <w:rFonts w:hint="eastAsia"/>
          <w:szCs w:val="20"/>
          <w:lang w:val="en-GB"/>
        </w:rPr>
        <w:t>her frequency</w:t>
      </w:r>
      <w:r w:rsidRPr="006A42F6">
        <w:rPr>
          <w:rFonts w:hint="eastAsia"/>
          <w:szCs w:val="20"/>
          <w:lang w:val="en-GB"/>
        </w:rPr>
        <w:t xml:space="preserve"> case, the cell will be smaller </w:t>
      </w:r>
      <w:r w:rsidR="00802170">
        <w:rPr>
          <w:rFonts w:hint="eastAsia"/>
          <w:szCs w:val="20"/>
          <w:lang w:val="en-GB"/>
        </w:rPr>
        <w:t>than LTE and fewer UE in a cell</w:t>
      </w:r>
      <w:r w:rsidR="00802170">
        <w:rPr>
          <w:szCs w:val="20"/>
          <w:lang w:val="en-GB"/>
        </w:rPr>
        <w:t>.</w:t>
      </w:r>
      <w:r w:rsidR="00802170">
        <w:rPr>
          <w:rFonts w:hint="eastAsia"/>
          <w:szCs w:val="20"/>
          <w:lang w:val="en-GB"/>
        </w:rPr>
        <w:t xml:space="preserve"> </w:t>
      </w:r>
      <w:r w:rsidR="00802170">
        <w:rPr>
          <w:szCs w:val="20"/>
          <w:lang w:val="en-GB"/>
        </w:rPr>
        <w:t>I</w:t>
      </w:r>
      <w:r w:rsidRPr="006A42F6">
        <w:rPr>
          <w:rFonts w:hint="eastAsia"/>
          <w:szCs w:val="20"/>
          <w:lang w:val="en-GB"/>
        </w:rPr>
        <w:t xml:space="preserve">f the same mechanism for system information delivery as LTE is used again, the low efficiency of resource will be severer. </w:t>
      </w:r>
      <w:r w:rsidRPr="006A42F6">
        <w:rPr>
          <w:szCs w:val="20"/>
          <w:lang w:val="en-GB"/>
        </w:rPr>
        <w:t xml:space="preserve"> Also different UEs may need differ</w:t>
      </w:r>
      <w:r w:rsidR="002363A9">
        <w:rPr>
          <w:szCs w:val="20"/>
          <w:lang w:val="en-GB"/>
        </w:rPr>
        <w:t xml:space="preserve">ent set of system information. </w:t>
      </w:r>
    </w:p>
    <w:p w:rsidR="00B37427" w:rsidRPr="00CA7B1E" w:rsidRDefault="006A42F6" w:rsidP="00E301E5">
      <w:pPr>
        <w:adjustRightInd/>
        <w:snapToGrid w:val="0"/>
        <w:spacing w:afterLines="50" w:line="276" w:lineRule="auto"/>
        <w:jc w:val="both"/>
        <w:rPr>
          <w:szCs w:val="20"/>
          <w:lang w:val="en-GB"/>
        </w:rPr>
      </w:pPr>
      <w:r w:rsidRPr="006A42F6">
        <w:rPr>
          <w:rFonts w:hint="eastAsia"/>
          <w:szCs w:val="20"/>
          <w:lang w:val="en-GB"/>
        </w:rPr>
        <w:t xml:space="preserve">To improve the efficiency of the broadcasting resources, one potential approach is to classify system information into different category based on the necessity of broadcast. </w:t>
      </w:r>
      <w:r w:rsidRPr="006A42F6">
        <w:rPr>
          <w:szCs w:val="20"/>
          <w:lang w:val="en-GB"/>
        </w:rPr>
        <w:t>A</w:t>
      </w:r>
      <w:r w:rsidRPr="006A42F6">
        <w:rPr>
          <w:rFonts w:hint="eastAsia"/>
          <w:szCs w:val="20"/>
          <w:lang w:val="en-GB"/>
        </w:rPr>
        <w:t xml:space="preserve">nd only the common and essential system information will be broadcast. </w:t>
      </w:r>
      <w:r w:rsidR="00220CE0" w:rsidRPr="00220CE0">
        <w:t>T</w:t>
      </w:r>
      <w:r w:rsidR="00300AD6">
        <w:rPr>
          <w:rFonts w:hint="eastAsia"/>
        </w:rPr>
        <w:t>he rest will be delive</w:t>
      </w:r>
      <w:r w:rsidR="00300AD6">
        <w:t>red</w:t>
      </w:r>
      <w:r w:rsidRPr="00220CE0">
        <w:rPr>
          <w:rFonts w:hint="eastAsia"/>
        </w:rPr>
        <w:t xml:space="preserve"> to UE by </w:t>
      </w:r>
      <w:r w:rsidR="00CA7B1E">
        <w:t>UE specific</w:t>
      </w:r>
      <w:r w:rsidR="00530886">
        <w:rPr>
          <w:rFonts w:hint="eastAsia"/>
        </w:rPr>
        <w:t xml:space="preserve"> signalin</w:t>
      </w:r>
      <w:r w:rsidR="00530886">
        <w:t>g.</w:t>
      </w:r>
    </w:p>
    <w:p w:rsidR="009F35E1" w:rsidRDefault="002A3E5A" w:rsidP="009F35E1">
      <w:pPr>
        <w:numPr>
          <w:ilvl w:val="0"/>
          <w:numId w:val="1"/>
        </w:numPr>
        <w:ind w:left="357" w:hanging="357"/>
        <w:rPr>
          <w:b/>
          <w:sz w:val="30"/>
          <w:szCs w:val="30"/>
        </w:rPr>
      </w:pPr>
      <w:r>
        <w:rPr>
          <w:b/>
          <w:sz w:val="30"/>
          <w:szCs w:val="30"/>
        </w:rPr>
        <w:t>MIMO framework</w:t>
      </w:r>
    </w:p>
    <w:p w:rsidR="009F35E1" w:rsidRDefault="002A3E5A" w:rsidP="00E301E5">
      <w:pPr>
        <w:adjustRightInd/>
        <w:snapToGrid w:val="0"/>
        <w:spacing w:afterLines="50" w:line="276" w:lineRule="auto"/>
        <w:jc w:val="both"/>
        <w:rPr>
          <w:szCs w:val="20"/>
          <w:lang w:val="en-GB"/>
        </w:rPr>
      </w:pPr>
      <w:r>
        <w:rPr>
          <w:szCs w:val="20"/>
          <w:lang w:val="en-GB"/>
        </w:rPr>
        <w:t>In LTE,</w:t>
      </w:r>
      <w:r w:rsidR="002B66F7">
        <w:rPr>
          <w:szCs w:val="20"/>
          <w:lang w:val="en-GB"/>
        </w:rPr>
        <w:t xml:space="preserve"> multiple</w:t>
      </w:r>
      <w:r>
        <w:rPr>
          <w:szCs w:val="20"/>
          <w:lang w:val="en-GB"/>
        </w:rPr>
        <w:t xml:space="preserve"> MIMO </w:t>
      </w:r>
      <w:r w:rsidR="002B66F7">
        <w:rPr>
          <w:szCs w:val="20"/>
          <w:lang w:val="en-GB"/>
        </w:rPr>
        <w:t>transmission modes</w:t>
      </w:r>
      <w:r w:rsidR="00D15C08">
        <w:rPr>
          <w:szCs w:val="20"/>
          <w:lang w:val="en-GB"/>
        </w:rPr>
        <w:t xml:space="preserve"> are specified for the</w:t>
      </w:r>
      <w:r w:rsidR="00F15DDF">
        <w:rPr>
          <w:szCs w:val="20"/>
          <w:lang w:val="en-GB"/>
        </w:rPr>
        <w:t xml:space="preserve"> evolution of MIMO techniques. </w:t>
      </w:r>
      <w:r w:rsidR="00D15C08">
        <w:rPr>
          <w:szCs w:val="20"/>
          <w:lang w:val="en-GB"/>
        </w:rPr>
        <w:t xml:space="preserve">At the same time, CSI feedback is tied to different transmission schemes. i.e. CSI is fed back based on the assumption of the transmission scheme. </w:t>
      </w:r>
      <w:r w:rsidR="002F3759">
        <w:rPr>
          <w:szCs w:val="20"/>
          <w:lang w:val="en-GB"/>
        </w:rPr>
        <w:t xml:space="preserve"> This approach has certain benefit of making the CSI information matched with the transmission scheme if the same transmission scheme is us</w:t>
      </w:r>
      <w:r w:rsidR="00F15DDF">
        <w:rPr>
          <w:szCs w:val="20"/>
          <w:lang w:val="en-GB"/>
        </w:rPr>
        <w:t xml:space="preserve">ed in the actual transmission. </w:t>
      </w:r>
      <w:r w:rsidR="002F3759">
        <w:rPr>
          <w:szCs w:val="20"/>
          <w:lang w:val="en-GB"/>
        </w:rPr>
        <w:t xml:space="preserve">However, it is often not the case </w:t>
      </w:r>
      <w:r w:rsidR="0018036E">
        <w:rPr>
          <w:szCs w:val="20"/>
          <w:lang w:val="en-GB"/>
        </w:rPr>
        <w:t xml:space="preserve">when MIMO technologies evolve. </w:t>
      </w:r>
      <w:r w:rsidR="00D15E25">
        <w:rPr>
          <w:szCs w:val="20"/>
          <w:lang w:val="en-GB"/>
        </w:rPr>
        <w:t>For instance, CSI feedback is based on SU-MIMO transmission but the actual</w:t>
      </w:r>
      <w:r w:rsidR="00F15DDF">
        <w:rPr>
          <w:szCs w:val="20"/>
          <w:lang w:val="en-GB"/>
        </w:rPr>
        <w:t xml:space="preserve"> transmission may be MU-MIMO. </w:t>
      </w:r>
      <w:r w:rsidR="00D15E25">
        <w:rPr>
          <w:szCs w:val="20"/>
          <w:lang w:val="en-GB"/>
        </w:rPr>
        <w:t>Therefore, the benefit diminishes if we consider advanced MIMO technologies.</w:t>
      </w:r>
      <w:r w:rsidR="002F3759">
        <w:rPr>
          <w:szCs w:val="20"/>
          <w:lang w:val="en-GB"/>
        </w:rPr>
        <w:t xml:space="preserve"> </w:t>
      </w:r>
      <w:r w:rsidR="00D15E25">
        <w:rPr>
          <w:szCs w:val="20"/>
          <w:lang w:val="en-GB"/>
        </w:rPr>
        <w:t>In NR system, CSI feedback can be considered to be decoupled from the transmission scheme.  This makes CSI feedback universal and applicable to any future MIMO transmission schemes and ensure</w:t>
      </w:r>
      <w:r w:rsidR="0018036E">
        <w:rPr>
          <w:szCs w:val="20"/>
          <w:lang w:val="en-GB"/>
        </w:rPr>
        <w:t xml:space="preserve">s better forward compatibility. </w:t>
      </w:r>
      <w:r w:rsidR="00DB1F3B">
        <w:rPr>
          <w:szCs w:val="20"/>
          <w:lang w:val="en-GB"/>
        </w:rPr>
        <w:t xml:space="preserve"> Explicit CSI feedback and beam selection</w:t>
      </w:r>
      <w:r w:rsidR="00E301E5">
        <w:rPr>
          <w:szCs w:val="20"/>
          <w:lang w:val="en-GB"/>
        </w:rPr>
        <w:t>/training</w:t>
      </w:r>
      <w:r w:rsidR="00DB1F3B">
        <w:rPr>
          <w:szCs w:val="20"/>
          <w:lang w:val="en-GB"/>
        </w:rPr>
        <w:t xml:space="preserve"> are</w:t>
      </w:r>
      <w:r w:rsidR="00D15E25">
        <w:rPr>
          <w:szCs w:val="20"/>
          <w:lang w:val="en-GB"/>
        </w:rPr>
        <w:t xml:space="preserve"> the candidates we can consider. </w:t>
      </w:r>
      <w:r w:rsidR="00DB1F3B">
        <w:rPr>
          <w:szCs w:val="20"/>
          <w:lang w:val="en-GB"/>
        </w:rPr>
        <w:t xml:space="preserve"> </w:t>
      </w:r>
      <w:r w:rsidR="00DB1F3B">
        <w:rPr>
          <w:szCs w:val="20"/>
          <w:lang w:val="en-GB"/>
        </w:rPr>
        <w:lastRenderedPageBreak/>
        <w:t xml:space="preserve">We should strive for the common framework for these CSI feedback schemes.  </w:t>
      </w:r>
      <w:r w:rsidR="008A5739">
        <w:rPr>
          <w:szCs w:val="20"/>
          <w:lang w:val="en-GB"/>
        </w:rPr>
        <w:t>e.g. the same framework of m</w:t>
      </w:r>
      <w:r w:rsidR="00DB1F3B">
        <w:rPr>
          <w:szCs w:val="20"/>
          <w:lang w:val="en-GB"/>
        </w:rPr>
        <w:t xml:space="preserve">ulti-level reference signals can be considered to support CSI feedback with multi-level </w:t>
      </w:r>
      <w:r w:rsidR="000A6169">
        <w:rPr>
          <w:szCs w:val="20"/>
          <w:lang w:val="en-GB"/>
        </w:rPr>
        <w:t xml:space="preserve">spatial </w:t>
      </w:r>
      <w:r w:rsidR="008A5739">
        <w:rPr>
          <w:szCs w:val="20"/>
          <w:lang w:val="en-GB"/>
        </w:rPr>
        <w:t>granularity for explicit CSI feedback and beam selection.</w:t>
      </w:r>
      <w:r w:rsidR="000A6169">
        <w:rPr>
          <w:szCs w:val="20"/>
          <w:lang w:val="en-GB"/>
        </w:rPr>
        <w:t xml:space="preserve">  </w:t>
      </w:r>
      <w:r w:rsidR="00613761">
        <w:rPr>
          <w:szCs w:val="20"/>
          <w:lang w:val="en-GB"/>
        </w:rPr>
        <w:t>Different scenarios (with different frequency bands, MIMO techniques,</w:t>
      </w:r>
      <w:r w:rsidR="004E050A">
        <w:rPr>
          <w:szCs w:val="20"/>
          <w:lang w:val="en-GB"/>
        </w:rPr>
        <w:t xml:space="preserve"> with channel reciprocity</w:t>
      </w:r>
      <w:r w:rsidR="00613761">
        <w:rPr>
          <w:szCs w:val="20"/>
          <w:lang w:val="en-GB"/>
        </w:rPr>
        <w:t xml:space="preserve"> etc) need different requirements on CSI granularity.  Multi-level design can enable efficient adaptation in terms of both reference signals and CSI feedback</w:t>
      </w:r>
      <w:r w:rsidR="00233DD4">
        <w:rPr>
          <w:szCs w:val="20"/>
          <w:lang w:val="en-GB"/>
        </w:rPr>
        <w:t xml:space="preserve"> overhead</w:t>
      </w:r>
      <w:r w:rsidR="00613761">
        <w:rPr>
          <w:szCs w:val="20"/>
          <w:lang w:val="en-GB"/>
        </w:rPr>
        <w:t xml:space="preserve"> to different requirements.</w:t>
      </w:r>
    </w:p>
    <w:p w:rsidR="008A5739" w:rsidRDefault="003B6109" w:rsidP="00E301E5">
      <w:pPr>
        <w:adjustRightInd/>
        <w:snapToGrid w:val="0"/>
        <w:spacing w:afterLines="50" w:line="276" w:lineRule="auto"/>
        <w:jc w:val="center"/>
      </w:pPr>
      <w:r>
        <w:rPr>
          <w:noProof/>
        </w:rPr>
        <w:drawing>
          <wp:inline distT="0" distB="0" distL="0" distR="0">
            <wp:extent cx="5113655" cy="176462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5121005" cy="1767161"/>
                    </a:xfrm>
                    <a:prstGeom prst="rect">
                      <a:avLst/>
                    </a:prstGeom>
                    <a:noFill/>
                    <a:ln w="9525">
                      <a:noFill/>
                      <a:miter lim="800000"/>
                      <a:headEnd/>
                      <a:tailEnd/>
                    </a:ln>
                  </pic:spPr>
                </pic:pic>
              </a:graphicData>
            </a:graphic>
          </wp:inline>
        </w:drawing>
      </w:r>
    </w:p>
    <w:p w:rsidR="00DB1F3B" w:rsidRPr="004500D9" w:rsidRDefault="008A5739" w:rsidP="004500D9">
      <w:pPr>
        <w:spacing w:before="120" w:after="120"/>
        <w:jc w:val="center"/>
        <w:rPr>
          <w:rFonts w:hAnsi="SimSun" w:hint="eastAsia"/>
          <w:szCs w:val="20"/>
        </w:rPr>
      </w:pPr>
      <w:r w:rsidRPr="005C6852">
        <w:rPr>
          <w:rFonts w:hAnsi="SimSun" w:hint="eastAsia"/>
          <w:szCs w:val="20"/>
        </w:rPr>
        <w:t xml:space="preserve">Figure </w:t>
      </w:r>
      <w:r w:rsidR="00863738">
        <w:rPr>
          <w:rFonts w:hAnsi="SimSun"/>
          <w:szCs w:val="20"/>
        </w:rPr>
        <w:t>4</w:t>
      </w:r>
      <w:r w:rsidRPr="005C6852">
        <w:rPr>
          <w:rFonts w:hAnsi="SimSun" w:hint="eastAsia"/>
          <w:szCs w:val="20"/>
        </w:rPr>
        <w:t xml:space="preserve"> </w:t>
      </w:r>
      <w:r w:rsidR="00613761">
        <w:rPr>
          <w:rFonts w:hAnsi="SimSun"/>
          <w:szCs w:val="20"/>
        </w:rPr>
        <w:t xml:space="preserve">Universal framework for </w:t>
      </w:r>
      <w:r w:rsidR="00863738">
        <w:rPr>
          <w:rFonts w:hAnsi="SimSun"/>
          <w:szCs w:val="20"/>
        </w:rPr>
        <w:t>CSI feedback with multi-level granularity</w:t>
      </w:r>
    </w:p>
    <w:p w:rsidR="001C4712" w:rsidRDefault="00D42A78" w:rsidP="00E301E5">
      <w:pPr>
        <w:adjustRightInd/>
        <w:snapToGrid w:val="0"/>
        <w:spacing w:afterLines="50" w:line="276" w:lineRule="auto"/>
        <w:jc w:val="both"/>
        <w:rPr>
          <w:szCs w:val="20"/>
          <w:lang w:val="en-GB"/>
        </w:rPr>
      </w:pPr>
      <w:r>
        <w:rPr>
          <w:szCs w:val="20"/>
          <w:lang w:val="en-GB"/>
        </w:rPr>
        <w:t>In additional to data channel, d</w:t>
      </w:r>
      <w:r w:rsidR="001C4712">
        <w:rPr>
          <w:szCs w:val="20"/>
          <w:lang w:val="en-GB"/>
        </w:rPr>
        <w:t xml:space="preserve">esign of MIMO framework should also consider support of beam based control channel, broadcast channel and synchronization signal.  </w:t>
      </w:r>
      <w:r w:rsidR="00657359">
        <w:rPr>
          <w:szCs w:val="20"/>
          <w:lang w:val="en-GB"/>
        </w:rPr>
        <w:t xml:space="preserve">e.g. Beam scanning/training is supported for control channel when there is no beam information. </w:t>
      </w:r>
      <w:r>
        <w:rPr>
          <w:szCs w:val="20"/>
          <w:lang w:val="en-GB"/>
        </w:rPr>
        <w:t>It should be flexible to adapt to different scenarios e.g. beam based approach and non-</w:t>
      </w:r>
      <w:proofErr w:type="spellStart"/>
      <w:r>
        <w:rPr>
          <w:szCs w:val="20"/>
          <w:lang w:val="en-GB"/>
        </w:rPr>
        <w:t>precoded</w:t>
      </w:r>
      <w:proofErr w:type="spellEnd"/>
      <w:r>
        <w:rPr>
          <w:szCs w:val="20"/>
          <w:lang w:val="en-GB"/>
        </w:rPr>
        <w:t xml:space="preserve"> approach, </w:t>
      </w:r>
      <w:r w:rsidR="00BD6209">
        <w:rPr>
          <w:szCs w:val="20"/>
          <w:lang w:val="en-GB"/>
        </w:rPr>
        <w:t>LTE-assisted approach and standalone approach for forward compatibility.</w:t>
      </w:r>
    </w:p>
    <w:p w:rsidR="00D15E25" w:rsidRDefault="00D15E25" w:rsidP="00E301E5">
      <w:pPr>
        <w:adjustRightInd/>
        <w:snapToGrid w:val="0"/>
        <w:spacing w:afterLines="50" w:line="276" w:lineRule="auto"/>
        <w:jc w:val="both"/>
        <w:rPr>
          <w:szCs w:val="20"/>
          <w:lang w:val="en-GB"/>
        </w:rPr>
      </w:pPr>
      <w:r>
        <w:rPr>
          <w:szCs w:val="20"/>
          <w:lang w:val="en-GB"/>
        </w:rPr>
        <w:t>In NR system, it is likely that the low power TRPs and UEs can have similar level of complexity and size especially wh</w:t>
      </w:r>
      <w:r w:rsidR="0018036E">
        <w:rPr>
          <w:szCs w:val="20"/>
          <w:lang w:val="en-GB"/>
        </w:rPr>
        <w:t xml:space="preserve">en we consider high frequency. </w:t>
      </w:r>
      <w:r>
        <w:rPr>
          <w:szCs w:val="20"/>
          <w:lang w:val="en-GB"/>
        </w:rPr>
        <w:t xml:space="preserve">When we </w:t>
      </w:r>
      <w:r w:rsidR="00B72D05">
        <w:rPr>
          <w:szCs w:val="20"/>
          <w:lang w:val="en-GB"/>
        </w:rPr>
        <w:t>design the MIMO framework, it should be flexible and applicable to different use cases e.g. including backhaul/D2D links</w:t>
      </w:r>
      <w:r w:rsidR="0086060B">
        <w:rPr>
          <w:szCs w:val="20"/>
          <w:lang w:val="en-GB"/>
        </w:rPr>
        <w:t xml:space="preserve"> as shown in Figure 5</w:t>
      </w:r>
      <w:r w:rsidR="00B72D05">
        <w:rPr>
          <w:szCs w:val="20"/>
          <w:lang w:val="en-GB"/>
        </w:rPr>
        <w:t>.</w:t>
      </w:r>
      <w:r>
        <w:rPr>
          <w:szCs w:val="20"/>
          <w:lang w:val="en-GB"/>
        </w:rPr>
        <w:t xml:space="preserve"> </w:t>
      </w:r>
      <w:r w:rsidR="00B72D05">
        <w:rPr>
          <w:szCs w:val="20"/>
          <w:lang w:val="en-GB"/>
        </w:rPr>
        <w:t>Therefore, similar framework should be used for downlink and uplink at least for</w:t>
      </w:r>
      <w:r w:rsidR="00F15DDF">
        <w:rPr>
          <w:szCs w:val="20"/>
          <w:lang w:val="en-GB"/>
        </w:rPr>
        <w:t xml:space="preserve"> high frequency communication. </w:t>
      </w:r>
      <w:r w:rsidR="00B72D05">
        <w:rPr>
          <w:szCs w:val="20"/>
          <w:lang w:val="en-GB"/>
        </w:rPr>
        <w:t xml:space="preserve">Moreover, parameters like number of antennas, receiver complexity can be considered in the similar level complexity e.g. it is proposed </w:t>
      </w:r>
      <w:r w:rsidR="00530886">
        <w:rPr>
          <w:szCs w:val="20"/>
          <w:lang w:val="en-GB"/>
        </w:rPr>
        <w:t>in [4</w:t>
      </w:r>
      <w:r w:rsidR="00B72D05">
        <w:rPr>
          <w:szCs w:val="20"/>
          <w:lang w:val="en-GB"/>
        </w:rPr>
        <w:t>] to support higher number of antennas in UE side for high frequency communication.</w:t>
      </w:r>
    </w:p>
    <w:p w:rsidR="0086060B" w:rsidRDefault="003C59F7" w:rsidP="00E301E5">
      <w:pPr>
        <w:adjustRightInd/>
        <w:snapToGrid w:val="0"/>
        <w:spacing w:afterLines="50" w:line="276" w:lineRule="auto"/>
        <w:jc w:val="center"/>
        <w:rPr>
          <w:szCs w:val="20"/>
          <w:lang w:val="en-GB"/>
        </w:rPr>
      </w:pPr>
      <w:r>
        <w:rPr>
          <w:noProof/>
          <w:szCs w:val="20"/>
        </w:rPr>
        <w:drawing>
          <wp:inline distT="0" distB="0" distL="0" distR="0">
            <wp:extent cx="3208064" cy="1898650"/>
            <wp:effectExtent l="1905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cstate="print"/>
                    <a:srcRect/>
                    <a:stretch>
                      <a:fillRect/>
                    </a:stretch>
                  </pic:blipFill>
                  <pic:spPr bwMode="auto">
                    <a:xfrm>
                      <a:off x="0" y="0"/>
                      <a:ext cx="3209922" cy="1899750"/>
                    </a:xfrm>
                    <a:prstGeom prst="rect">
                      <a:avLst/>
                    </a:prstGeom>
                    <a:noFill/>
                    <a:ln w="9525">
                      <a:noFill/>
                      <a:miter lim="800000"/>
                      <a:headEnd/>
                      <a:tailEnd/>
                    </a:ln>
                  </pic:spPr>
                </pic:pic>
              </a:graphicData>
            </a:graphic>
          </wp:inline>
        </w:drawing>
      </w:r>
    </w:p>
    <w:p w:rsidR="0086060B" w:rsidRPr="002A3E5A" w:rsidRDefault="0086060B" w:rsidP="00E301E5">
      <w:pPr>
        <w:adjustRightInd/>
        <w:snapToGrid w:val="0"/>
        <w:spacing w:afterLines="50" w:line="276" w:lineRule="auto"/>
        <w:jc w:val="center"/>
        <w:rPr>
          <w:szCs w:val="20"/>
          <w:lang w:val="en-GB"/>
        </w:rPr>
      </w:pPr>
      <w:r>
        <w:rPr>
          <w:szCs w:val="20"/>
          <w:lang w:val="en-GB"/>
        </w:rPr>
        <w:t>Figure 5 Different MIMO use cases</w:t>
      </w:r>
    </w:p>
    <w:p w:rsidR="00300AD6" w:rsidRDefault="00300AD6">
      <w:pPr>
        <w:adjustRightInd/>
        <w:spacing w:line="240" w:lineRule="auto"/>
        <w:rPr>
          <w:b/>
          <w:sz w:val="30"/>
          <w:szCs w:val="30"/>
        </w:rPr>
      </w:pPr>
      <w:r>
        <w:rPr>
          <w:b/>
          <w:sz w:val="30"/>
          <w:szCs w:val="30"/>
        </w:rPr>
        <w:br w:type="page"/>
      </w:r>
    </w:p>
    <w:p w:rsidR="00A569A4" w:rsidRDefault="00216F14" w:rsidP="00A569A4">
      <w:pPr>
        <w:numPr>
          <w:ilvl w:val="0"/>
          <w:numId w:val="1"/>
        </w:numPr>
        <w:ind w:left="357" w:hanging="357"/>
        <w:rPr>
          <w:b/>
          <w:sz w:val="30"/>
          <w:szCs w:val="30"/>
        </w:rPr>
      </w:pPr>
      <w:r>
        <w:rPr>
          <w:b/>
          <w:sz w:val="30"/>
          <w:szCs w:val="30"/>
        </w:rPr>
        <w:lastRenderedPageBreak/>
        <w:t>Conclusion</w:t>
      </w:r>
    </w:p>
    <w:p w:rsidR="00300AD6" w:rsidRDefault="00221120" w:rsidP="00300AD6">
      <w:pPr>
        <w:snapToGrid w:val="0"/>
        <w:spacing w:line="288" w:lineRule="auto"/>
        <w:jc w:val="both"/>
        <w:rPr>
          <w:szCs w:val="20"/>
        </w:rPr>
      </w:pPr>
      <w:r w:rsidRPr="0027255D">
        <w:rPr>
          <w:szCs w:val="20"/>
        </w:rPr>
        <w:t>In this co</w:t>
      </w:r>
      <w:r w:rsidR="00A540F3">
        <w:rPr>
          <w:szCs w:val="20"/>
        </w:rPr>
        <w:t xml:space="preserve">ntribution, </w:t>
      </w:r>
      <w:r>
        <w:rPr>
          <w:szCs w:val="20"/>
        </w:rPr>
        <w:t>forward compatibility</w:t>
      </w:r>
      <w:r w:rsidR="00A540F3">
        <w:rPr>
          <w:szCs w:val="20"/>
        </w:rPr>
        <w:t xml:space="preserve"> is discussed</w:t>
      </w:r>
      <w:r>
        <w:rPr>
          <w:szCs w:val="20"/>
        </w:rPr>
        <w:t xml:space="preserve"> in the aspects of frame structure including numerology, user centric system design and MIMO framework.</w:t>
      </w:r>
      <w:r w:rsidR="00300AD6">
        <w:rPr>
          <w:szCs w:val="20"/>
        </w:rPr>
        <w:t xml:space="preserve">  </w:t>
      </w:r>
    </w:p>
    <w:p w:rsidR="00185733" w:rsidRDefault="00300AD6" w:rsidP="00300AD6">
      <w:pPr>
        <w:snapToGrid w:val="0"/>
        <w:spacing w:before="240" w:line="288" w:lineRule="auto"/>
        <w:jc w:val="both"/>
        <w:rPr>
          <w:szCs w:val="20"/>
        </w:rPr>
      </w:pPr>
      <w:r>
        <w:rPr>
          <w:szCs w:val="20"/>
        </w:rPr>
        <w:t xml:space="preserve">Regarding frame structure, self contained frame structure, flexible data </w:t>
      </w:r>
      <w:proofErr w:type="spellStart"/>
      <w:r>
        <w:rPr>
          <w:szCs w:val="20"/>
        </w:rPr>
        <w:t>subframes</w:t>
      </w:r>
      <w:proofErr w:type="spellEnd"/>
      <w:r>
        <w:rPr>
          <w:szCs w:val="20"/>
        </w:rPr>
        <w:t xml:space="preserve"> and flexible numerology should be considered.  </w:t>
      </w:r>
    </w:p>
    <w:p w:rsidR="00300AD6" w:rsidRDefault="00300AD6" w:rsidP="00300AD6">
      <w:pPr>
        <w:snapToGrid w:val="0"/>
        <w:spacing w:before="240" w:line="288" w:lineRule="auto"/>
        <w:jc w:val="both"/>
        <w:rPr>
          <w:szCs w:val="20"/>
          <w:lang w:val="en-GB"/>
        </w:rPr>
      </w:pPr>
      <w:r>
        <w:rPr>
          <w:szCs w:val="20"/>
        </w:rPr>
        <w:t xml:space="preserve">Regarding user centric design, the design principle should be to minimize mandatory signals in the network for lower interference and better network efficiency.  Reference signals should be designed in on-demand and UE specific manner. </w:t>
      </w:r>
      <w:r>
        <w:rPr>
          <w:szCs w:val="20"/>
          <w:lang w:val="en-GB"/>
        </w:rPr>
        <w:t xml:space="preserve"> Broadcast channel for system information should include o</w:t>
      </w:r>
      <w:r w:rsidRPr="006A42F6">
        <w:rPr>
          <w:rFonts w:hint="eastAsia"/>
          <w:szCs w:val="20"/>
          <w:lang w:val="en-GB"/>
        </w:rPr>
        <w:t>nly the common and essential system information.</w:t>
      </w:r>
    </w:p>
    <w:p w:rsidR="00300AD6" w:rsidRDefault="00300AD6" w:rsidP="00300AD6">
      <w:pPr>
        <w:snapToGrid w:val="0"/>
        <w:spacing w:before="240" w:line="288" w:lineRule="auto"/>
        <w:jc w:val="both"/>
        <w:rPr>
          <w:szCs w:val="20"/>
          <w:lang w:val="en-GB"/>
        </w:rPr>
      </w:pPr>
      <w:r>
        <w:rPr>
          <w:szCs w:val="20"/>
          <w:lang w:val="en-GB"/>
        </w:rPr>
        <w:t xml:space="preserve">Regarding MIMO framework, CSI and transmission </w:t>
      </w:r>
      <w:r w:rsidR="003473FE">
        <w:rPr>
          <w:szCs w:val="20"/>
          <w:lang w:val="en-GB"/>
        </w:rPr>
        <w:t>scheme</w:t>
      </w:r>
      <w:r>
        <w:rPr>
          <w:szCs w:val="20"/>
          <w:lang w:val="en-GB"/>
        </w:rPr>
        <w:t xml:space="preserve"> should be decoupled.  We should strive for universal MIMO framework for different scenarios and use cases.  Multi-level CSI feedback is considered to flexibly adapt to different CSI requirements.  In additional to data channel, design of MIMO framework should also consider support of beam based control channel, broadcast channel and synchronization signal.</w:t>
      </w:r>
    </w:p>
    <w:p w:rsidR="003A6127" w:rsidRPr="00070EBD" w:rsidRDefault="003A6127" w:rsidP="00300AD6">
      <w:pPr>
        <w:snapToGrid w:val="0"/>
        <w:spacing w:before="240" w:line="288" w:lineRule="auto"/>
        <w:jc w:val="both"/>
        <w:rPr>
          <w:i/>
        </w:rPr>
      </w:pPr>
    </w:p>
    <w:p w:rsidR="00A569A4" w:rsidRDefault="00A569A4" w:rsidP="00EA5B9D">
      <w:pPr>
        <w:numPr>
          <w:ilvl w:val="0"/>
          <w:numId w:val="1"/>
        </w:numPr>
        <w:ind w:left="357" w:hanging="357"/>
        <w:rPr>
          <w:b/>
          <w:sz w:val="30"/>
          <w:szCs w:val="30"/>
        </w:rPr>
      </w:pPr>
      <w:r>
        <w:rPr>
          <w:b/>
          <w:sz w:val="30"/>
          <w:szCs w:val="30"/>
        </w:rPr>
        <w:t>References</w:t>
      </w:r>
    </w:p>
    <w:p w:rsidR="00A569A4" w:rsidRPr="002B09BE" w:rsidRDefault="00EA5B9D" w:rsidP="00A569A4">
      <w:pPr>
        <w:rPr>
          <w:szCs w:val="20"/>
        </w:rPr>
      </w:pPr>
      <w:bookmarkStart w:id="10" w:name="OLE_LINK3"/>
      <w:bookmarkStart w:id="11" w:name="OLE_LINK4"/>
      <w:r w:rsidRPr="002B09BE">
        <w:rPr>
          <w:rFonts w:hint="eastAsia"/>
          <w:szCs w:val="20"/>
        </w:rPr>
        <w:t xml:space="preserve">[1] </w:t>
      </w:r>
      <w:r w:rsidR="00070EBD" w:rsidRPr="002B09BE">
        <w:rPr>
          <w:rFonts w:eastAsia="MS Mincho" w:hint="eastAsia"/>
          <w:szCs w:val="20"/>
          <w:lang w:eastAsia="ja-JP"/>
        </w:rPr>
        <w:t>R</w:t>
      </w:r>
      <w:r w:rsidR="00070EBD" w:rsidRPr="002B09BE">
        <w:rPr>
          <w:rFonts w:hint="eastAsia"/>
          <w:szCs w:val="20"/>
        </w:rPr>
        <w:t>P</w:t>
      </w:r>
      <w:r w:rsidR="00A569A4" w:rsidRPr="002B09BE">
        <w:rPr>
          <w:rFonts w:eastAsia="MS Mincho" w:hint="eastAsia"/>
          <w:szCs w:val="20"/>
          <w:lang w:eastAsia="ja-JP"/>
        </w:rPr>
        <w:t>-</w:t>
      </w:r>
      <w:bookmarkEnd w:id="10"/>
      <w:bookmarkEnd w:id="11"/>
      <w:r w:rsidR="003631E5" w:rsidRPr="002B09BE">
        <w:rPr>
          <w:szCs w:val="20"/>
        </w:rPr>
        <w:t>1</w:t>
      </w:r>
      <w:r w:rsidR="003631E5" w:rsidRPr="002B09BE">
        <w:rPr>
          <w:rFonts w:hint="eastAsia"/>
          <w:szCs w:val="20"/>
        </w:rPr>
        <w:t>60671</w:t>
      </w:r>
      <w:r w:rsidR="00A569A4" w:rsidRPr="002B09BE">
        <w:rPr>
          <w:szCs w:val="20"/>
        </w:rPr>
        <w:t xml:space="preserve">, </w:t>
      </w:r>
      <w:r w:rsidR="003631E5" w:rsidRPr="002B09BE">
        <w:rPr>
          <w:szCs w:val="20"/>
        </w:rPr>
        <w:t xml:space="preserve">Study on </w:t>
      </w:r>
      <w:r w:rsidR="003631E5" w:rsidRPr="002B09BE">
        <w:rPr>
          <w:rFonts w:eastAsia="MS Mincho" w:hint="eastAsia"/>
          <w:szCs w:val="20"/>
          <w:lang w:eastAsia="ja-JP"/>
        </w:rPr>
        <w:t>NR</w:t>
      </w:r>
      <w:r w:rsidR="003631E5" w:rsidRPr="002B09BE">
        <w:rPr>
          <w:szCs w:val="20"/>
        </w:rPr>
        <w:t xml:space="preserve"> New Radio Access Technology</w:t>
      </w:r>
      <w:r w:rsidR="003631E5" w:rsidRPr="002B09BE">
        <w:rPr>
          <w:rFonts w:eastAsia="MS Mincho"/>
          <w:szCs w:val="20"/>
          <w:lang w:eastAsia="ja-JP"/>
        </w:rPr>
        <w:t xml:space="preserve">, </w:t>
      </w:r>
      <w:r w:rsidR="003631E5" w:rsidRPr="002B09BE">
        <w:rPr>
          <w:rFonts w:hint="eastAsia"/>
          <w:szCs w:val="20"/>
        </w:rPr>
        <w:t>3GPP RAN#71</w:t>
      </w:r>
    </w:p>
    <w:p w:rsidR="00602802" w:rsidRPr="002B09BE" w:rsidRDefault="00487887" w:rsidP="00A569A4">
      <w:pPr>
        <w:rPr>
          <w:iCs/>
          <w:szCs w:val="20"/>
        </w:rPr>
      </w:pPr>
      <w:r w:rsidRPr="002B09BE">
        <w:rPr>
          <w:rFonts w:hint="eastAsia"/>
          <w:iCs/>
          <w:szCs w:val="20"/>
        </w:rPr>
        <w:t>[</w:t>
      </w:r>
      <w:r w:rsidRPr="002B09BE">
        <w:rPr>
          <w:iCs/>
          <w:szCs w:val="20"/>
        </w:rPr>
        <w:t>2</w:t>
      </w:r>
      <w:r w:rsidR="00AC2BD8" w:rsidRPr="002B09BE">
        <w:rPr>
          <w:rFonts w:hint="eastAsia"/>
          <w:iCs/>
          <w:szCs w:val="20"/>
        </w:rPr>
        <w:t>] R1-</w:t>
      </w:r>
      <w:r w:rsidR="00391673" w:rsidRPr="002B09BE">
        <w:rPr>
          <w:iCs/>
          <w:szCs w:val="20"/>
        </w:rPr>
        <w:t>162228</w:t>
      </w:r>
      <w:r w:rsidR="00AC2BD8" w:rsidRPr="002B09BE">
        <w:rPr>
          <w:rFonts w:hint="eastAsia"/>
          <w:iCs/>
          <w:szCs w:val="20"/>
        </w:rPr>
        <w:t xml:space="preserve">, </w:t>
      </w:r>
      <w:r w:rsidR="00391673" w:rsidRPr="002B09BE">
        <w:rPr>
          <w:rFonts w:hint="eastAsia"/>
          <w:szCs w:val="20"/>
        </w:rPr>
        <w:t>F</w:t>
      </w:r>
      <w:r w:rsidR="00391673" w:rsidRPr="002B09BE">
        <w:rPr>
          <w:szCs w:val="20"/>
        </w:rPr>
        <w:t>rame structure</w:t>
      </w:r>
      <w:r w:rsidR="00391673" w:rsidRPr="002B09BE">
        <w:rPr>
          <w:rFonts w:hint="eastAsia"/>
          <w:szCs w:val="20"/>
        </w:rPr>
        <w:t xml:space="preserve"> design of new RAT</w:t>
      </w:r>
      <w:r w:rsidR="00AC2BD8" w:rsidRPr="002B09BE">
        <w:rPr>
          <w:rFonts w:hint="eastAsia"/>
          <w:iCs/>
          <w:szCs w:val="20"/>
        </w:rPr>
        <w:t>, ZTE</w:t>
      </w:r>
    </w:p>
    <w:p w:rsidR="00391673" w:rsidRPr="002B09BE" w:rsidRDefault="00487887" w:rsidP="00391673">
      <w:pPr>
        <w:rPr>
          <w:iCs/>
          <w:szCs w:val="20"/>
        </w:rPr>
      </w:pPr>
      <w:r w:rsidRPr="002B09BE">
        <w:rPr>
          <w:rFonts w:hint="eastAsia"/>
          <w:iCs/>
          <w:szCs w:val="20"/>
        </w:rPr>
        <w:t>[</w:t>
      </w:r>
      <w:r w:rsidRPr="002B09BE">
        <w:rPr>
          <w:iCs/>
          <w:szCs w:val="20"/>
        </w:rPr>
        <w:t>3</w:t>
      </w:r>
      <w:r w:rsidR="00391673" w:rsidRPr="002B09BE">
        <w:rPr>
          <w:rFonts w:hint="eastAsia"/>
          <w:iCs/>
          <w:szCs w:val="20"/>
        </w:rPr>
        <w:t>] R1-</w:t>
      </w:r>
      <w:r w:rsidR="00391673" w:rsidRPr="002B09BE">
        <w:rPr>
          <w:iCs/>
          <w:szCs w:val="20"/>
        </w:rPr>
        <w:t>16222</w:t>
      </w:r>
      <w:r w:rsidR="00391673" w:rsidRPr="002B09BE">
        <w:rPr>
          <w:rFonts w:hint="eastAsia"/>
          <w:iCs/>
          <w:szCs w:val="20"/>
        </w:rPr>
        <w:t xml:space="preserve">7, </w:t>
      </w:r>
      <w:bookmarkStart w:id="12" w:name="OLE_LINK1"/>
      <w:bookmarkStart w:id="13" w:name="OLE_LINK2"/>
      <w:r w:rsidR="00391673" w:rsidRPr="002B09BE">
        <w:rPr>
          <w:rFonts w:hint="eastAsia"/>
          <w:szCs w:val="20"/>
        </w:rPr>
        <w:t>Numerology design of new RAT</w:t>
      </w:r>
      <w:bookmarkEnd w:id="12"/>
      <w:bookmarkEnd w:id="13"/>
      <w:r w:rsidR="00391673" w:rsidRPr="002B09BE">
        <w:rPr>
          <w:rFonts w:hint="eastAsia"/>
          <w:iCs/>
          <w:szCs w:val="20"/>
        </w:rPr>
        <w:t>, ZTE</w:t>
      </w:r>
    </w:p>
    <w:p w:rsidR="00391673" w:rsidRPr="002B09BE" w:rsidRDefault="00487887" w:rsidP="002363A9">
      <w:pPr>
        <w:rPr>
          <w:iCs/>
          <w:szCs w:val="20"/>
        </w:rPr>
      </w:pPr>
      <w:r w:rsidRPr="002B09BE">
        <w:rPr>
          <w:rFonts w:hint="eastAsia"/>
          <w:iCs/>
          <w:szCs w:val="20"/>
        </w:rPr>
        <w:t>[</w:t>
      </w:r>
      <w:r w:rsidR="00530886">
        <w:rPr>
          <w:iCs/>
          <w:szCs w:val="20"/>
        </w:rPr>
        <w:t>4</w:t>
      </w:r>
      <w:r w:rsidR="00391673" w:rsidRPr="002B09BE">
        <w:rPr>
          <w:rFonts w:hint="eastAsia"/>
          <w:iCs/>
          <w:szCs w:val="20"/>
        </w:rPr>
        <w:t>] R1-</w:t>
      </w:r>
      <w:r w:rsidR="00391673" w:rsidRPr="002B09BE">
        <w:rPr>
          <w:iCs/>
          <w:szCs w:val="20"/>
        </w:rPr>
        <w:t>16</w:t>
      </w:r>
      <w:r w:rsidR="002B09BE">
        <w:rPr>
          <w:rFonts w:hint="eastAsia"/>
          <w:iCs/>
          <w:szCs w:val="20"/>
        </w:rPr>
        <w:t>222</w:t>
      </w:r>
      <w:r w:rsidR="002B09BE">
        <w:rPr>
          <w:iCs/>
          <w:szCs w:val="20"/>
        </w:rPr>
        <w:t>4</w:t>
      </w:r>
      <w:r w:rsidR="00391673" w:rsidRPr="002B09BE">
        <w:rPr>
          <w:rFonts w:hint="eastAsia"/>
          <w:iCs/>
          <w:szCs w:val="20"/>
        </w:rPr>
        <w:t xml:space="preserve">, </w:t>
      </w:r>
      <w:r w:rsidR="002B09BE" w:rsidRPr="002B09BE">
        <w:rPr>
          <w:iCs/>
          <w:szCs w:val="20"/>
        </w:rPr>
        <w:t>Evaluation assumptions for NR in RAN1</w:t>
      </w:r>
      <w:r w:rsidR="00391673" w:rsidRPr="002B09BE">
        <w:rPr>
          <w:rFonts w:hint="eastAsia"/>
          <w:iCs/>
          <w:szCs w:val="20"/>
        </w:rPr>
        <w:t>, ZTE</w:t>
      </w:r>
    </w:p>
    <w:p w:rsidR="00391673" w:rsidRPr="00391673" w:rsidRDefault="00391673" w:rsidP="00A569A4">
      <w:pPr>
        <w:rPr>
          <w:iCs/>
        </w:rPr>
      </w:pPr>
    </w:p>
    <w:sectPr w:rsidR="00391673" w:rsidRPr="00391673" w:rsidSect="0024567E">
      <w:headerReference w:type="default" r:id="rId17"/>
      <w:footerReference w:type="even" r:id="rId18"/>
      <w:footerReference w:type="default" r:id="rId19"/>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CAD" w:rsidRDefault="00576CAD" w:rsidP="00FF0AAD">
      <w:r>
        <w:separator/>
      </w:r>
    </w:p>
  </w:endnote>
  <w:endnote w:type="continuationSeparator" w:id="0">
    <w:p w:rsidR="00576CAD" w:rsidRDefault="00576CAD"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4E4B69">
    <w:pPr>
      <w:pStyle w:val="a4"/>
      <w:framePr w:wrap="around" w:vAnchor="text" w:hAnchor="margin" w:xAlign="right" w:y="1"/>
      <w:rPr>
        <w:rStyle w:val="a6"/>
      </w:rPr>
    </w:pPr>
    <w:r>
      <w:rPr>
        <w:rStyle w:val="a6"/>
      </w:rPr>
      <w:fldChar w:fldCharType="begin"/>
    </w:r>
    <w:r w:rsidR="00EE01E9">
      <w:rPr>
        <w:rStyle w:val="a6"/>
      </w:rPr>
      <w:instrText xml:space="preserve">PAGE  </w:instrText>
    </w:r>
    <w:r>
      <w:rPr>
        <w:rStyle w:val="a6"/>
      </w:rPr>
      <w:fldChar w:fldCharType="end"/>
    </w:r>
  </w:p>
  <w:p w:rsidR="00EE01E9" w:rsidRDefault="00EE01E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CAD" w:rsidRDefault="00576CAD" w:rsidP="00FF0AAD">
      <w:r>
        <w:separator/>
      </w:r>
    </w:p>
  </w:footnote>
  <w:footnote w:type="continuationSeparator" w:id="0">
    <w:p w:rsidR="00576CAD" w:rsidRDefault="00576CAD"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
  </w:num>
  <w:num w:numId="3">
    <w:abstractNumId w:val="13"/>
  </w:num>
  <w:num w:numId="4">
    <w:abstractNumId w:val="16"/>
  </w:num>
  <w:num w:numId="5">
    <w:abstractNumId w:val="2"/>
  </w:num>
  <w:num w:numId="6">
    <w:abstractNumId w:val="8"/>
  </w:num>
  <w:num w:numId="7">
    <w:abstractNumId w:val="5"/>
  </w:num>
  <w:num w:numId="8">
    <w:abstractNumId w:val="10"/>
  </w:num>
  <w:num w:numId="9">
    <w:abstractNumId w:val="17"/>
  </w:num>
  <w:num w:numId="10">
    <w:abstractNumId w:val="11"/>
  </w:num>
  <w:num w:numId="11">
    <w:abstractNumId w:val="9"/>
  </w:num>
  <w:num w:numId="12">
    <w:abstractNumId w:val="15"/>
  </w:num>
  <w:num w:numId="13">
    <w:abstractNumId w:val="7"/>
  </w:num>
  <w:num w:numId="14">
    <w:abstractNumId w:val="4"/>
  </w:num>
  <w:num w:numId="15">
    <w:abstractNumId w:val="1"/>
  </w:num>
  <w:num w:numId="16">
    <w:abstractNumId w:val="6"/>
  </w:num>
  <w:num w:numId="17">
    <w:abstractNumId w:val="14"/>
  </w:num>
  <w:num w:numId="18">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9933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7324"/>
    <w:rsid w:val="0001696F"/>
    <w:rsid w:val="00027F39"/>
    <w:rsid w:val="000314BE"/>
    <w:rsid w:val="0003612C"/>
    <w:rsid w:val="000411C0"/>
    <w:rsid w:val="0004434E"/>
    <w:rsid w:val="00052635"/>
    <w:rsid w:val="00053328"/>
    <w:rsid w:val="00055C73"/>
    <w:rsid w:val="000650EB"/>
    <w:rsid w:val="0007080B"/>
    <w:rsid w:val="00070EBD"/>
    <w:rsid w:val="0007415F"/>
    <w:rsid w:val="00075E59"/>
    <w:rsid w:val="00083C9E"/>
    <w:rsid w:val="00083F98"/>
    <w:rsid w:val="00086A29"/>
    <w:rsid w:val="00091B52"/>
    <w:rsid w:val="00092939"/>
    <w:rsid w:val="00095947"/>
    <w:rsid w:val="000A27B9"/>
    <w:rsid w:val="000A6169"/>
    <w:rsid w:val="000B2582"/>
    <w:rsid w:val="000B7610"/>
    <w:rsid w:val="000C1E82"/>
    <w:rsid w:val="000D65D7"/>
    <w:rsid w:val="0010212F"/>
    <w:rsid w:val="0010477F"/>
    <w:rsid w:val="00126145"/>
    <w:rsid w:val="00127D7C"/>
    <w:rsid w:val="001442F6"/>
    <w:rsid w:val="00145121"/>
    <w:rsid w:val="0014740A"/>
    <w:rsid w:val="001477A7"/>
    <w:rsid w:val="00161014"/>
    <w:rsid w:val="00171139"/>
    <w:rsid w:val="001721E6"/>
    <w:rsid w:val="001742D5"/>
    <w:rsid w:val="00174436"/>
    <w:rsid w:val="001767E6"/>
    <w:rsid w:val="0018036E"/>
    <w:rsid w:val="001841A8"/>
    <w:rsid w:val="00185733"/>
    <w:rsid w:val="00190A8D"/>
    <w:rsid w:val="00194BDB"/>
    <w:rsid w:val="00196645"/>
    <w:rsid w:val="001A5421"/>
    <w:rsid w:val="001B21A1"/>
    <w:rsid w:val="001C06FA"/>
    <w:rsid w:val="001C4712"/>
    <w:rsid w:val="001D5F96"/>
    <w:rsid w:val="001D6048"/>
    <w:rsid w:val="00216F14"/>
    <w:rsid w:val="00220CE0"/>
    <w:rsid w:val="00221120"/>
    <w:rsid w:val="00233288"/>
    <w:rsid w:val="002333B7"/>
    <w:rsid w:val="00233DD4"/>
    <w:rsid w:val="002363A9"/>
    <w:rsid w:val="00244D42"/>
    <w:rsid w:val="0024567E"/>
    <w:rsid w:val="002519B7"/>
    <w:rsid w:val="00267558"/>
    <w:rsid w:val="0026790F"/>
    <w:rsid w:val="00272467"/>
    <w:rsid w:val="0027255D"/>
    <w:rsid w:val="00273A29"/>
    <w:rsid w:val="00283F82"/>
    <w:rsid w:val="00285137"/>
    <w:rsid w:val="002938A5"/>
    <w:rsid w:val="002960F4"/>
    <w:rsid w:val="002974D4"/>
    <w:rsid w:val="002A3E5A"/>
    <w:rsid w:val="002A54A2"/>
    <w:rsid w:val="002B09BE"/>
    <w:rsid w:val="002B4D7C"/>
    <w:rsid w:val="002B66F7"/>
    <w:rsid w:val="002B6BAA"/>
    <w:rsid w:val="002C09CF"/>
    <w:rsid w:val="002C368B"/>
    <w:rsid w:val="002C370A"/>
    <w:rsid w:val="002C7B26"/>
    <w:rsid w:val="002D02D4"/>
    <w:rsid w:val="002D10A8"/>
    <w:rsid w:val="002D35FA"/>
    <w:rsid w:val="002D6B6C"/>
    <w:rsid w:val="002E794D"/>
    <w:rsid w:val="002F0126"/>
    <w:rsid w:val="002F2FF2"/>
    <w:rsid w:val="002F3759"/>
    <w:rsid w:val="002F5517"/>
    <w:rsid w:val="00300AD6"/>
    <w:rsid w:val="00310A97"/>
    <w:rsid w:val="00312C1A"/>
    <w:rsid w:val="00312DD1"/>
    <w:rsid w:val="00313E5D"/>
    <w:rsid w:val="0031570F"/>
    <w:rsid w:val="003162A2"/>
    <w:rsid w:val="00321B96"/>
    <w:rsid w:val="0033176D"/>
    <w:rsid w:val="00337150"/>
    <w:rsid w:val="00346CE0"/>
    <w:rsid w:val="003473FE"/>
    <w:rsid w:val="003504B5"/>
    <w:rsid w:val="003533A7"/>
    <w:rsid w:val="003631E5"/>
    <w:rsid w:val="00377306"/>
    <w:rsid w:val="00391673"/>
    <w:rsid w:val="0039409B"/>
    <w:rsid w:val="003A2A06"/>
    <w:rsid w:val="003A6127"/>
    <w:rsid w:val="003A6500"/>
    <w:rsid w:val="003A6F60"/>
    <w:rsid w:val="003B3883"/>
    <w:rsid w:val="003B40ED"/>
    <w:rsid w:val="003B46C8"/>
    <w:rsid w:val="003B5CF4"/>
    <w:rsid w:val="003B6109"/>
    <w:rsid w:val="003C361A"/>
    <w:rsid w:val="003C3674"/>
    <w:rsid w:val="003C3FCC"/>
    <w:rsid w:val="003C59F7"/>
    <w:rsid w:val="003C70DA"/>
    <w:rsid w:val="003D2D35"/>
    <w:rsid w:val="003D4CBE"/>
    <w:rsid w:val="003D6CB9"/>
    <w:rsid w:val="003F28BC"/>
    <w:rsid w:val="003F448B"/>
    <w:rsid w:val="003F58F6"/>
    <w:rsid w:val="004000BE"/>
    <w:rsid w:val="0040477F"/>
    <w:rsid w:val="004074BD"/>
    <w:rsid w:val="00411AA7"/>
    <w:rsid w:val="00412AFA"/>
    <w:rsid w:val="00413229"/>
    <w:rsid w:val="004137FF"/>
    <w:rsid w:val="004147B5"/>
    <w:rsid w:val="00414D93"/>
    <w:rsid w:val="0042159B"/>
    <w:rsid w:val="00425DF0"/>
    <w:rsid w:val="004265A0"/>
    <w:rsid w:val="00427917"/>
    <w:rsid w:val="00435AD0"/>
    <w:rsid w:val="00441AA1"/>
    <w:rsid w:val="00446005"/>
    <w:rsid w:val="00446AE1"/>
    <w:rsid w:val="004500D9"/>
    <w:rsid w:val="0046088D"/>
    <w:rsid w:val="00461C5A"/>
    <w:rsid w:val="0046454E"/>
    <w:rsid w:val="004656EE"/>
    <w:rsid w:val="0048006F"/>
    <w:rsid w:val="00487887"/>
    <w:rsid w:val="00496761"/>
    <w:rsid w:val="00496C3B"/>
    <w:rsid w:val="004B77E3"/>
    <w:rsid w:val="004C0544"/>
    <w:rsid w:val="004C1005"/>
    <w:rsid w:val="004C145A"/>
    <w:rsid w:val="004C46E1"/>
    <w:rsid w:val="004C5861"/>
    <w:rsid w:val="004C63EE"/>
    <w:rsid w:val="004C6A8B"/>
    <w:rsid w:val="004D10DB"/>
    <w:rsid w:val="004D15BB"/>
    <w:rsid w:val="004D1EE6"/>
    <w:rsid w:val="004D28B9"/>
    <w:rsid w:val="004D6142"/>
    <w:rsid w:val="004E050A"/>
    <w:rsid w:val="004E4B69"/>
    <w:rsid w:val="004E72AC"/>
    <w:rsid w:val="004E78E8"/>
    <w:rsid w:val="00501BD7"/>
    <w:rsid w:val="00504BCA"/>
    <w:rsid w:val="00506A83"/>
    <w:rsid w:val="0051029C"/>
    <w:rsid w:val="00515626"/>
    <w:rsid w:val="005253C8"/>
    <w:rsid w:val="00530886"/>
    <w:rsid w:val="00532C95"/>
    <w:rsid w:val="00555AFA"/>
    <w:rsid w:val="005573A0"/>
    <w:rsid w:val="00557A2B"/>
    <w:rsid w:val="00565697"/>
    <w:rsid w:val="00566C02"/>
    <w:rsid w:val="00570FDA"/>
    <w:rsid w:val="00576CAD"/>
    <w:rsid w:val="00580ED6"/>
    <w:rsid w:val="00585079"/>
    <w:rsid w:val="0059566C"/>
    <w:rsid w:val="005A22CF"/>
    <w:rsid w:val="005B000C"/>
    <w:rsid w:val="005B3EF1"/>
    <w:rsid w:val="005D680C"/>
    <w:rsid w:val="005F0BCE"/>
    <w:rsid w:val="005F34F7"/>
    <w:rsid w:val="005F56A6"/>
    <w:rsid w:val="006012C6"/>
    <w:rsid w:val="00602802"/>
    <w:rsid w:val="00604A6E"/>
    <w:rsid w:val="00613761"/>
    <w:rsid w:val="00613EFD"/>
    <w:rsid w:val="00617630"/>
    <w:rsid w:val="00620346"/>
    <w:rsid w:val="00656384"/>
    <w:rsid w:val="00657359"/>
    <w:rsid w:val="006653D4"/>
    <w:rsid w:val="00666E6D"/>
    <w:rsid w:val="00667F6E"/>
    <w:rsid w:val="00671904"/>
    <w:rsid w:val="00677F9F"/>
    <w:rsid w:val="00690BB8"/>
    <w:rsid w:val="00696B73"/>
    <w:rsid w:val="006A0AE1"/>
    <w:rsid w:val="006A185C"/>
    <w:rsid w:val="006A4230"/>
    <w:rsid w:val="006A42F6"/>
    <w:rsid w:val="006A6E0F"/>
    <w:rsid w:val="006B48F1"/>
    <w:rsid w:val="006C60A2"/>
    <w:rsid w:val="006C7454"/>
    <w:rsid w:val="006D4C4D"/>
    <w:rsid w:val="006D512F"/>
    <w:rsid w:val="006D7CA8"/>
    <w:rsid w:val="006E5253"/>
    <w:rsid w:val="006E6B9A"/>
    <w:rsid w:val="00701823"/>
    <w:rsid w:val="00701EF9"/>
    <w:rsid w:val="007048C3"/>
    <w:rsid w:val="00704A9A"/>
    <w:rsid w:val="00705FA6"/>
    <w:rsid w:val="00712655"/>
    <w:rsid w:val="00726156"/>
    <w:rsid w:val="00732E84"/>
    <w:rsid w:val="00737957"/>
    <w:rsid w:val="007477F6"/>
    <w:rsid w:val="0075770A"/>
    <w:rsid w:val="00757C50"/>
    <w:rsid w:val="00760049"/>
    <w:rsid w:val="00760131"/>
    <w:rsid w:val="0076369E"/>
    <w:rsid w:val="00765BB9"/>
    <w:rsid w:val="00766C46"/>
    <w:rsid w:val="00771468"/>
    <w:rsid w:val="0078762A"/>
    <w:rsid w:val="00793203"/>
    <w:rsid w:val="0079666E"/>
    <w:rsid w:val="0079669E"/>
    <w:rsid w:val="00796A2A"/>
    <w:rsid w:val="007A2A69"/>
    <w:rsid w:val="007A2D26"/>
    <w:rsid w:val="007A412D"/>
    <w:rsid w:val="007B073F"/>
    <w:rsid w:val="007B7386"/>
    <w:rsid w:val="007C33E4"/>
    <w:rsid w:val="007E5CF8"/>
    <w:rsid w:val="007E771D"/>
    <w:rsid w:val="008010A5"/>
    <w:rsid w:val="00801948"/>
    <w:rsid w:val="00802170"/>
    <w:rsid w:val="00804085"/>
    <w:rsid w:val="00813CD3"/>
    <w:rsid w:val="0081518A"/>
    <w:rsid w:val="00815E75"/>
    <w:rsid w:val="00816F96"/>
    <w:rsid w:val="00823E65"/>
    <w:rsid w:val="008244E5"/>
    <w:rsid w:val="00836840"/>
    <w:rsid w:val="00840AB6"/>
    <w:rsid w:val="00846CBF"/>
    <w:rsid w:val="00846FAB"/>
    <w:rsid w:val="00853251"/>
    <w:rsid w:val="0086060B"/>
    <w:rsid w:val="00863738"/>
    <w:rsid w:val="00870BF0"/>
    <w:rsid w:val="00870FE7"/>
    <w:rsid w:val="00872250"/>
    <w:rsid w:val="00872C28"/>
    <w:rsid w:val="00881A67"/>
    <w:rsid w:val="00893B8E"/>
    <w:rsid w:val="008A1ED0"/>
    <w:rsid w:val="008A2594"/>
    <w:rsid w:val="008A4707"/>
    <w:rsid w:val="008A5739"/>
    <w:rsid w:val="008A5C38"/>
    <w:rsid w:val="008C2ADD"/>
    <w:rsid w:val="008C4EB6"/>
    <w:rsid w:val="008D2554"/>
    <w:rsid w:val="008E27D5"/>
    <w:rsid w:val="0090352C"/>
    <w:rsid w:val="0090427E"/>
    <w:rsid w:val="00915D34"/>
    <w:rsid w:val="00916155"/>
    <w:rsid w:val="00932248"/>
    <w:rsid w:val="00932BEF"/>
    <w:rsid w:val="0093734D"/>
    <w:rsid w:val="009433CB"/>
    <w:rsid w:val="0095082C"/>
    <w:rsid w:val="0096003B"/>
    <w:rsid w:val="00971DDC"/>
    <w:rsid w:val="0097265A"/>
    <w:rsid w:val="009745AB"/>
    <w:rsid w:val="00991070"/>
    <w:rsid w:val="00992DCD"/>
    <w:rsid w:val="009C1507"/>
    <w:rsid w:val="009D03F9"/>
    <w:rsid w:val="009D2D92"/>
    <w:rsid w:val="009D4E27"/>
    <w:rsid w:val="009D7EE2"/>
    <w:rsid w:val="009E0835"/>
    <w:rsid w:val="009E2BBA"/>
    <w:rsid w:val="009E748B"/>
    <w:rsid w:val="009F35E1"/>
    <w:rsid w:val="009F5F41"/>
    <w:rsid w:val="00A044DF"/>
    <w:rsid w:val="00A07D64"/>
    <w:rsid w:val="00A16D4F"/>
    <w:rsid w:val="00A22250"/>
    <w:rsid w:val="00A22F3F"/>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71BD4"/>
    <w:rsid w:val="00A76243"/>
    <w:rsid w:val="00A773F5"/>
    <w:rsid w:val="00A805A8"/>
    <w:rsid w:val="00A80B01"/>
    <w:rsid w:val="00A95088"/>
    <w:rsid w:val="00A9638F"/>
    <w:rsid w:val="00AA3CA4"/>
    <w:rsid w:val="00AB1474"/>
    <w:rsid w:val="00AC2BD8"/>
    <w:rsid w:val="00AC4276"/>
    <w:rsid w:val="00AC5A41"/>
    <w:rsid w:val="00AD0C4F"/>
    <w:rsid w:val="00AD5E2B"/>
    <w:rsid w:val="00AE26C5"/>
    <w:rsid w:val="00AE3567"/>
    <w:rsid w:val="00AE4706"/>
    <w:rsid w:val="00AE6AE8"/>
    <w:rsid w:val="00AE775A"/>
    <w:rsid w:val="00AF1A64"/>
    <w:rsid w:val="00B03B2F"/>
    <w:rsid w:val="00B03BCC"/>
    <w:rsid w:val="00B07901"/>
    <w:rsid w:val="00B1029B"/>
    <w:rsid w:val="00B107DB"/>
    <w:rsid w:val="00B12666"/>
    <w:rsid w:val="00B139DE"/>
    <w:rsid w:val="00B243F4"/>
    <w:rsid w:val="00B26DD1"/>
    <w:rsid w:val="00B31627"/>
    <w:rsid w:val="00B32C30"/>
    <w:rsid w:val="00B35602"/>
    <w:rsid w:val="00B37427"/>
    <w:rsid w:val="00B55FA9"/>
    <w:rsid w:val="00B56B1F"/>
    <w:rsid w:val="00B60DCF"/>
    <w:rsid w:val="00B72D05"/>
    <w:rsid w:val="00B76024"/>
    <w:rsid w:val="00B816F5"/>
    <w:rsid w:val="00B83E85"/>
    <w:rsid w:val="00B86BDA"/>
    <w:rsid w:val="00B87244"/>
    <w:rsid w:val="00BA1C72"/>
    <w:rsid w:val="00BA48BD"/>
    <w:rsid w:val="00BB6344"/>
    <w:rsid w:val="00BC0F95"/>
    <w:rsid w:val="00BD1F36"/>
    <w:rsid w:val="00BD285A"/>
    <w:rsid w:val="00BD6209"/>
    <w:rsid w:val="00BE2E7D"/>
    <w:rsid w:val="00BF4E61"/>
    <w:rsid w:val="00C02F16"/>
    <w:rsid w:val="00C062F6"/>
    <w:rsid w:val="00C115D4"/>
    <w:rsid w:val="00C16D62"/>
    <w:rsid w:val="00C24819"/>
    <w:rsid w:val="00C30640"/>
    <w:rsid w:val="00C42297"/>
    <w:rsid w:val="00C50168"/>
    <w:rsid w:val="00C509B0"/>
    <w:rsid w:val="00C53622"/>
    <w:rsid w:val="00C54982"/>
    <w:rsid w:val="00C66B5A"/>
    <w:rsid w:val="00C86B68"/>
    <w:rsid w:val="00C93EDD"/>
    <w:rsid w:val="00C953EF"/>
    <w:rsid w:val="00CA7B1E"/>
    <w:rsid w:val="00CC0088"/>
    <w:rsid w:val="00CE1B6E"/>
    <w:rsid w:val="00CE4DE5"/>
    <w:rsid w:val="00CF356A"/>
    <w:rsid w:val="00D00BD8"/>
    <w:rsid w:val="00D02F5A"/>
    <w:rsid w:val="00D04B88"/>
    <w:rsid w:val="00D06F85"/>
    <w:rsid w:val="00D15C08"/>
    <w:rsid w:val="00D15E25"/>
    <w:rsid w:val="00D25CA2"/>
    <w:rsid w:val="00D273EF"/>
    <w:rsid w:val="00D3302E"/>
    <w:rsid w:val="00D42A78"/>
    <w:rsid w:val="00D462B9"/>
    <w:rsid w:val="00D51AB5"/>
    <w:rsid w:val="00D53D01"/>
    <w:rsid w:val="00D56DBA"/>
    <w:rsid w:val="00D62003"/>
    <w:rsid w:val="00D673E0"/>
    <w:rsid w:val="00D70674"/>
    <w:rsid w:val="00D72F23"/>
    <w:rsid w:val="00D743AA"/>
    <w:rsid w:val="00D76E1B"/>
    <w:rsid w:val="00D8248D"/>
    <w:rsid w:val="00D82A53"/>
    <w:rsid w:val="00D83034"/>
    <w:rsid w:val="00D83F19"/>
    <w:rsid w:val="00D85273"/>
    <w:rsid w:val="00D9131C"/>
    <w:rsid w:val="00D93B0C"/>
    <w:rsid w:val="00D96FEA"/>
    <w:rsid w:val="00DA12AB"/>
    <w:rsid w:val="00DA5597"/>
    <w:rsid w:val="00DB1F3B"/>
    <w:rsid w:val="00DC254A"/>
    <w:rsid w:val="00DD34F8"/>
    <w:rsid w:val="00DD646B"/>
    <w:rsid w:val="00DD71A4"/>
    <w:rsid w:val="00DE31A3"/>
    <w:rsid w:val="00DE6FA7"/>
    <w:rsid w:val="00DF25FD"/>
    <w:rsid w:val="00DF65B2"/>
    <w:rsid w:val="00E00801"/>
    <w:rsid w:val="00E03A4D"/>
    <w:rsid w:val="00E05567"/>
    <w:rsid w:val="00E07960"/>
    <w:rsid w:val="00E1495E"/>
    <w:rsid w:val="00E14F87"/>
    <w:rsid w:val="00E153F6"/>
    <w:rsid w:val="00E20171"/>
    <w:rsid w:val="00E301E5"/>
    <w:rsid w:val="00E35457"/>
    <w:rsid w:val="00E4164A"/>
    <w:rsid w:val="00E43842"/>
    <w:rsid w:val="00E4509B"/>
    <w:rsid w:val="00E4633B"/>
    <w:rsid w:val="00E47699"/>
    <w:rsid w:val="00E47AE4"/>
    <w:rsid w:val="00E569C1"/>
    <w:rsid w:val="00E631F7"/>
    <w:rsid w:val="00E77CC4"/>
    <w:rsid w:val="00E91BDE"/>
    <w:rsid w:val="00E943EE"/>
    <w:rsid w:val="00E95BF2"/>
    <w:rsid w:val="00EA5B9D"/>
    <w:rsid w:val="00EB0370"/>
    <w:rsid w:val="00EC162F"/>
    <w:rsid w:val="00ED2C69"/>
    <w:rsid w:val="00EE01E9"/>
    <w:rsid w:val="00EE5769"/>
    <w:rsid w:val="00EE6CB7"/>
    <w:rsid w:val="00F01A21"/>
    <w:rsid w:val="00F15DDF"/>
    <w:rsid w:val="00F313F6"/>
    <w:rsid w:val="00F40727"/>
    <w:rsid w:val="00F57C13"/>
    <w:rsid w:val="00F62CCD"/>
    <w:rsid w:val="00F7227E"/>
    <w:rsid w:val="00F8225E"/>
    <w:rsid w:val="00F924D8"/>
    <w:rsid w:val="00FA6853"/>
    <w:rsid w:val="00FB1555"/>
    <w:rsid w:val="00FB412A"/>
    <w:rsid w:val="00FC7B21"/>
    <w:rsid w:val="00FE2656"/>
    <w:rsid w:val="00FE2682"/>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933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a8">
    <w:name w:val="List Paragraph"/>
    <w:basedOn w:val="a"/>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2"/>
    <w:uiPriority w:val="99"/>
    <w:semiHidden/>
    <w:unhideWhenUsed/>
    <w:rsid w:val="002C368B"/>
    <w:rPr>
      <w:rFonts w:ascii="SimSun"/>
      <w:sz w:val="18"/>
      <w:szCs w:val="18"/>
    </w:rPr>
  </w:style>
  <w:style w:type="character" w:customStyle="1" w:styleId="Char2">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3"/>
    <w:uiPriority w:val="99"/>
    <w:unhideWhenUsed/>
    <w:rsid w:val="002C368B"/>
  </w:style>
  <w:style w:type="character" w:customStyle="1" w:styleId="Char3">
    <w:name w:val="批注文字 Char"/>
    <w:basedOn w:val="a0"/>
    <w:link w:val="ac"/>
    <w:uiPriority w:val="99"/>
    <w:rsid w:val="002C368B"/>
    <w:rPr>
      <w:szCs w:val="22"/>
    </w:rPr>
  </w:style>
  <w:style w:type="paragraph" w:styleId="ad">
    <w:name w:val="annotation subject"/>
    <w:basedOn w:val="ac"/>
    <w:next w:val="ac"/>
    <w:link w:val="Char4"/>
    <w:uiPriority w:val="99"/>
    <w:unhideWhenUsed/>
    <w:rsid w:val="002C368B"/>
    <w:rPr>
      <w:b/>
      <w:bCs/>
    </w:rPr>
  </w:style>
  <w:style w:type="character" w:customStyle="1" w:styleId="Char4">
    <w:name w:val="批注主题 Char"/>
    <w:basedOn w:val="Char3"/>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B26DD1"/>
    <w:pPr>
      <w:keepLines/>
      <w:adjustRightInd/>
      <w:spacing w:line="240" w:lineRule="auto"/>
      <w:ind w:left="454" w:hanging="454"/>
    </w:pPr>
    <w:rPr>
      <w:sz w:val="16"/>
      <w:szCs w:val="20"/>
      <w:lang w:val="en-GB"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6"/>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7"/>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8"/>
    <w:uiPriority w:val="99"/>
    <w:rsid w:val="00B26DD1"/>
    <w:pPr>
      <w:adjustRightInd/>
      <w:spacing w:after="180" w:line="240" w:lineRule="auto"/>
    </w:pPr>
    <w:rPr>
      <w:rFonts w:ascii="Courier New" w:hAnsi="Courier New"/>
      <w:szCs w:val="20"/>
      <w:lang w:val="nb-NO" w:eastAsia="en-US"/>
    </w:rPr>
  </w:style>
  <w:style w:type="character" w:customStyle="1" w:styleId="Char8">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B26DD1"/>
    <w:pPr>
      <w:adjustRightInd/>
      <w:spacing w:after="180" w:line="240" w:lineRule="auto"/>
    </w:pPr>
    <w:rPr>
      <w:szCs w:val="20"/>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a"/>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a"/>
    <w:rsid w:val="00726156"/>
    <w:pPr>
      <w:overflowPunct w:val="0"/>
      <w:autoSpaceDE w:val="0"/>
      <w:autoSpaceDN w:val="0"/>
      <w:spacing w:line="240" w:lineRule="auto"/>
      <w:jc w:val="both"/>
      <w:textAlignment w:val="baseline"/>
    </w:pPr>
    <w:rPr>
      <w:rFonts w:eastAsia="Times New Roman"/>
      <w:szCs w:val="20"/>
    </w:rPr>
  </w:style>
  <w:style w:type="character" w:customStyle="1" w:styleId="Chara">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6">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7">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CE0C5-6031-4544-8D09-900AE45F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LI</cp:lastModifiedBy>
  <cp:revision>10</cp:revision>
  <cp:lastPrinted>2113-01-01T00:00:00Z</cp:lastPrinted>
  <dcterms:created xsi:type="dcterms:W3CDTF">2016-04-07T09:07:00Z</dcterms:created>
  <dcterms:modified xsi:type="dcterms:W3CDTF">2016-04-07T09:18:00Z</dcterms:modified>
</cp:coreProperties>
</file>